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6F3E" w:rsidRPr="001C1480" w:rsidRDefault="00AA6F3E" w:rsidP="00AA6F3E">
      <w:pPr>
        <w:spacing w:line="360" w:lineRule="auto"/>
        <w:jc w:val="center"/>
        <w:rPr>
          <w:rFonts w:ascii="Times New Roman" w:hAnsi="Times New Roman" w:cs="Times New Roman"/>
          <w:b/>
          <w:sz w:val="24"/>
          <w:szCs w:val="24"/>
        </w:rPr>
      </w:pPr>
      <w:r w:rsidRPr="001C1480">
        <w:rPr>
          <w:rFonts w:ascii="Times New Roman" w:hAnsi="Times New Roman" w:cs="Times New Roman"/>
          <w:b/>
          <w:sz w:val="24"/>
          <w:szCs w:val="24"/>
        </w:rPr>
        <w:t>BAB II</w:t>
      </w:r>
    </w:p>
    <w:p w:rsidR="00AA6F3E" w:rsidRDefault="00AA6F3E" w:rsidP="00AA6F3E">
      <w:pPr>
        <w:spacing w:line="360" w:lineRule="auto"/>
        <w:jc w:val="center"/>
        <w:rPr>
          <w:rFonts w:ascii="Times New Roman" w:hAnsi="Times New Roman" w:cs="Times New Roman"/>
          <w:b/>
          <w:sz w:val="24"/>
          <w:szCs w:val="24"/>
        </w:rPr>
      </w:pPr>
      <w:r w:rsidRPr="001C1480">
        <w:rPr>
          <w:rFonts w:ascii="Times New Roman" w:hAnsi="Times New Roman" w:cs="Times New Roman"/>
          <w:b/>
          <w:sz w:val="24"/>
          <w:szCs w:val="24"/>
        </w:rPr>
        <w:t>HAK TANGGUNGAN SEBAGAI PERJANJIAN TAMBAHAN (</w:t>
      </w:r>
      <w:r w:rsidRPr="001C1480">
        <w:rPr>
          <w:rFonts w:ascii="Times New Roman" w:hAnsi="Times New Roman" w:cs="Times New Roman"/>
          <w:b/>
          <w:i/>
          <w:sz w:val="24"/>
          <w:szCs w:val="24"/>
        </w:rPr>
        <w:t>ACCESOIR</w:t>
      </w:r>
      <w:r w:rsidRPr="001C1480">
        <w:rPr>
          <w:rFonts w:ascii="Times New Roman" w:hAnsi="Times New Roman" w:cs="Times New Roman"/>
          <w:b/>
          <w:sz w:val="24"/>
          <w:szCs w:val="24"/>
        </w:rPr>
        <w:t>) ATAS PERJANJIAN KREDIT</w:t>
      </w:r>
    </w:p>
    <w:p w:rsidR="00AA6F3E" w:rsidRPr="001C1480" w:rsidRDefault="00AA6F3E" w:rsidP="00AA6F3E">
      <w:pPr>
        <w:spacing w:line="360" w:lineRule="auto"/>
        <w:jc w:val="center"/>
        <w:rPr>
          <w:rFonts w:ascii="Times New Roman" w:hAnsi="Times New Roman" w:cs="Times New Roman"/>
          <w:b/>
          <w:sz w:val="24"/>
          <w:szCs w:val="24"/>
        </w:rPr>
      </w:pPr>
    </w:p>
    <w:p w:rsidR="00AA6F3E" w:rsidRPr="00C55D3B" w:rsidRDefault="00AA6F3E" w:rsidP="00AA6F3E">
      <w:pPr>
        <w:pStyle w:val="ListParagraph"/>
        <w:numPr>
          <w:ilvl w:val="3"/>
          <w:numId w:val="1"/>
        </w:numPr>
        <w:spacing w:line="480" w:lineRule="auto"/>
        <w:ind w:left="0"/>
        <w:jc w:val="both"/>
        <w:rPr>
          <w:rFonts w:ascii="Times New Roman" w:hAnsi="Times New Roman" w:cs="Times New Roman"/>
          <w:b/>
          <w:sz w:val="24"/>
          <w:szCs w:val="24"/>
        </w:rPr>
      </w:pPr>
      <w:r w:rsidRPr="00C55D3B">
        <w:rPr>
          <w:rFonts w:ascii="Times New Roman" w:hAnsi="Times New Roman" w:cs="Times New Roman"/>
          <w:b/>
          <w:sz w:val="24"/>
          <w:szCs w:val="24"/>
        </w:rPr>
        <w:t xml:space="preserve">Perjanjian Kredit Perbankan </w:t>
      </w:r>
    </w:p>
    <w:p w:rsidR="00AA6F3E" w:rsidRDefault="00AA6F3E" w:rsidP="00AA6F3E">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Dalam kehidupan sehari-hari, kebutuhan akan dana untuk menunjang perekonomian dirasakan semakin meningkat, namun kebutuhan tersebut tidak ditunjang dengan kemampuan untuk mengusahakan dana itu sendiri. Di satu sisi ada masyarakat yang kekurangan dana dan di sisi lain terdapat sekelompok masyarakat yang justru kelebihan dana. Instansi perbankan hadir untuk mempertemukan keduanya dan bertindak selaku kreditur  yang akan menyediakan dana bagi debitur, sehingga lahir perjanjian utang-piutang atau perjanjian kredit. </w:t>
      </w:r>
    </w:p>
    <w:p w:rsidR="00AA6F3E" w:rsidRDefault="00AA6F3E" w:rsidP="00AA6F3E">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Penyaluran kredit bank dilaksanakan melalui beberapa tahapan, yaitu analisis kredit pemutusan pemberiannya, tahap pembuatan perjanjian kredit, tahap pemantauan kredit, dan tahap penyelamatan dan penagihan/ penyelesaian kredit. Keempat tahapan tersebut dalam istilah perbankan dinamakan </w:t>
      </w:r>
      <w:r w:rsidRPr="008866B9">
        <w:rPr>
          <w:rFonts w:ascii="Times New Roman" w:hAnsi="Times New Roman" w:cs="Times New Roman"/>
          <w:i/>
          <w:sz w:val="24"/>
          <w:szCs w:val="24"/>
        </w:rPr>
        <w:t>credit management</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2"/>
      </w:r>
    </w:p>
    <w:p w:rsidR="00AA6F3E" w:rsidRPr="0007034D" w:rsidRDefault="00AA6F3E" w:rsidP="00AA6F3E">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Istilah perjanjian </w:t>
      </w:r>
      <w:r w:rsidRPr="00BD4830">
        <w:rPr>
          <w:rFonts w:ascii="Times New Roman" w:hAnsi="Times New Roman" w:cs="Times New Roman"/>
          <w:sz w:val="24"/>
          <w:szCs w:val="24"/>
        </w:rPr>
        <w:t>utang-piutang tidak ditemukan dalam KUHPerdata, karena KUHPerdata menggunakan istilah perjanjian pinjam meminjam.</w:t>
      </w:r>
      <w:r>
        <w:rPr>
          <w:rFonts w:ascii="Times New Roman" w:hAnsi="Times New Roman" w:cs="Times New Roman"/>
          <w:sz w:val="24"/>
          <w:szCs w:val="24"/>
        </w:rPr>
        <w:t xml:space="preserve"> </w:t>
      </w:r>
      <w:r w:rsidRPr="0007034D">
        <w:rPr>
          <w:rFonts w:ascii="Times New Roman" w:hAnsi="Times New Roman" w:cs="Times New Roman"/>
          <w:sz w:val="24"/>
          <w:szCs w:val="24"/>
        </w:rPr>
        <w:t xml:space="preserve">Perjanjian pinjam meminjam diatur dalam Bab Ketiga Belas Buku Ketiga KUHPerdata Pasal 1754 yang berbunyi, “pinjam-meminjam adalah perjanjian dengan mana pihak </w:t>
      </w:r>
      <w:r w:rsidRPr="0007034D">
        <w:rPr>
          <w:rFonts w:ascii="Times New Roman" w:hAnsi="Times New Roman" w:cs="Times New Roman"/>
          <w:sz w:val="24"/>
          <w:szCs w:val="24"/>
        </w:rPr>
        <w:lastRenderedPageBreak/>
        <w:t xml:space="preserve">yang satu memberikan kepada pihak yang lain suatu jumlah tertentu barang-barang yang menghabis karena pemakaian, dengan syarat bahwa pihak yang belakangan ini akan mengembalikan sejumlah yang sama dari macam dan keadaan yang sama pula”. </w:t>
      </w:r>
    </w:p>
    <w:p w:rsidR="00AA6F3E" w:rsidRPr="00BD4830" w:rsidRDefault="00AA6F3E" w:rsidP="00AA6F3E">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Obj</w:t>
      </w:r>
      <w:r w:rsidRPr="00BD4830">
        <w:rPr>
          <w:rFonts w:ascii="Times New Roman" w:hAnsi="Times New Roman" w:cs="Times New Roman"/>
          <w:sz w:val="24"/>
          <w:szCs w:val="24"/>
        </w:rPr>
        <w:t>ek perjanjian pinjam-meminjam adalah barang-barang yang menghabis karena pemakaian, termasuk uang yang dapat segera habis ketika dibelanjakan.</w:t>
      </w:r>
      <w:r>
        <w:rPr>
          <w:rFonts w:ascii="Times New Roman" w:hAnsi="Times New Roman" w:cs="Times New Roman"/>
          <w:sz w:val="24"/>
          <w:szCs w:val="24"/>
        </w:rPr>
        <w:t xml:space="preserve"> P</w:t>
      </w:r>
      <w:r w:rsidRPr="00BD4830">
        <w:rPr>
          <w:rFonts w:ascii="Times New Roman" w:hAnsi="Times New Roman" w:cs="Times New Roman"/>
          <w:sz w:val="24"/>
          <w:szCs w:val="24"/>
        </w:rPr>
        <w:t>erjanjian pinjam-meminjam dalam KUHPerdata, mengandung beberapa pengertian, yaitu :</w:t>
      </w:r>
    </w:p>
    <w:p w:rsidR="00AA6F3E" w:rsidRPr="00BD4830" w:rsidRDefault="00AA6F3E" w:rsidP="00AA6F3E">
      <w:pPr>
        <w:pStyle w:val="ListParagraph"/>
        <w:numPr>
          <w:ilvl w:val="0"/>
          <w:numId w:val="4"/>
        </w:numPr>
        <w:spacing w:line="480" w:lineRule="auto"/>
        <w:ind w:left="0"/>
        <w:jc w:val="both"/>
        <w:rPr>
          <w:rFonts w:ascii="Times New Roman" w:hAnsi="Times New Roman" w:cs="Times New Roman"/>
          <w:sz w:val="24"/>
          <w:szCs w:val="24"/>
        </w:rPr>
      </w:pPr>
      <w:r>
        <w:rPr>
          <w:rFonts w:ascii="Times New Roman" w:hAnsi="Times New Roman" w:cs="Times New Roman"/>
          <w:sz w:val="24"/>
          <w:szCs w:val="24"/>
        </w:rPr>
        <w:t>Adanya subj</w:t>
      </w:r>
      <w:r w:rsidRPr="00BD4830">
        <w:rPr>
          <w:rFonts w:ascii="Times New Roman" w:hAnsi="Times New Roman" w:cs="Times New Roman"/>
          <w:sz w:val="24"/>
          <w:szCs w:val="24"/>
        </w:rPr>
        <w:t>ek hukum, yang terdiri dari pihak yang melepaskan haknya atau memiliki sesuatu benda yang dapat menghabis karena pemakaian, biasanya disebut sebagai pihak berpiutang atau kreditur. Di pihak lainnya terdapat pihak yang membutuhkan sejumlah uang atau barang dan disebut sebagai si berutang atau debitur.</w:t>
      </w:r>
    </w:p>
    <w:p w:rsidR="00AA6F3E" w:rsidRPr="00BD4830" w:rsidRDefault="00AA6F3E" w:rsidP="00AA6F3E">
      <w:pPr>
        <w:pStyle w:val="ListParagraph"/>
        <w:numPr>
          <w:ilvl w:val="0"/>
          <w:numId w:val="4"/>
        </w:numPr>
        <w:spacing w:line="480" w:lineRule="auto"/>
        <w:ind w:left="0"/>
        <w:jc w:val="both"/>
        <w:rPr>
          <w:rFonts w:ascii="Times New Roman" w:hAnsi="Times New Roman" w:cs="Times New Roman"/>
          <w:sz w:val="24"/>
          <w:szCs w:val="24"/>
        </w:rPr>
      </w:pPr>
      <w:r w:rsidRPr="00BD4830">
        <w:rPr>
          <w:rFonts w:ascii="Times New Roman" w:hAnsi="Times New Roman" w:cs="Times New Roman"/>
          <w:sz w:val="24"/>
          <w:szCs w:val="24"/>
        </w:rPr>
        <w:t xml:space="preserve">Adanya barang yang dapat menghabis karena pemakaian atau dapat berupa uang. Uang dikategorikan sebagai barang yang dapat menghabis karena pemakaian jika digunakan atau dibelanjakan. </w:t>
      </w:r>
    </w:p>
    <w:p w:rsidR="00AA6F3E" w:rsidRDefault="00AA6F3E" w:rsidP="00AA6F3E">
      <w:pPr>
        <w:pStyle w:val="ListParagraph"/>
        <w:numPr>
          <w:ilvl w:val="0"/>
          <w:numId w:val="4"/>
        </w:numPr>
        <w:spacing w:line="480" w:lineRule="auto"/>
        <w:ind w:left="0"/>
        <w:jc w:val="both"/>
        <w:rPr>
          <w:rFonts w:ascii="Times New Roman" w:hAnsi="Times New Roman" w:cs="Times New Roman"/>
          <w:sz w:val="24"/>
          <w:szCs w:val="24"/>
        </w:rPr>
      </w:pPr>
      <w:r w:rsidRPr="002618BA">
        <w:rPr>
          <w:rFonts w:ascii="Times New Roman" w:hAnsi="Times New Roman" w:cs="Times New Roman"/>
          <w:sz w:val="24"/>
          <w:szCs w:val="24"/>
        </w:rPr>
        <w:t xml:space="preserve">Adanya janji  dari si berutang (debitur) untuk mengembalikan sesuai dengan jumlah yang dipinjamnya. Janji ini mengikat kepada debitur termasuk harta  bendanya sebagai jaminan pelunasan utangnya. </w:t>
      </w:r>
    </w:p>
    <w:p w:rsidR="00AA6F3E" w:rsidRPr="002618BA" w:rsidRDefault="00AA6F3E" w:rsidP="00AA6F3E">
      <w:pPr>
        <w:pStyle w:val="ListParagraph"/>
        <w:spacing w:line="480" w:lineRule="auto"/>
        <w:ind w:left="0" w:firstLine="850"/>
        <w:jc w:val="both"/>
        <w:rPr>
          <w:rFonts w:ascii="Times New Roman" w:hAnsi="Times New Roman" w:cs="Times New Roman"/>
          <w:sz w:val="24"/>
          <w:szCs w:val="24"/>
        </w:rPr>
      </w:pPr>
      <w:r w:rsidRPr="002618BA">
        <w:rPr>
          <w:rFonts w:ascii="Times New Roman" w:hAnsi="Times New Roman" w:cs="Times New Roman"/>
          <w:sz w:val="24"/>
          <w:szCs w:val="24"/>
        </w:rPr>
        <w:t xml:space="preserve">Sehingga rumusan </w:t>
      </w:r>
      <w:r>
        <w:rPr>
          <w:rFonts w:ascii="Times New Roman" w:hAnsi="Times New Roman" w:cs="Times New Roman"/>
          <w:sz w:val="24"/>
          <w:szCs w:val="24"/>
        </w:rPr>
        <w:t>P</w:t>
      </w:r>
      <w:r w:rsidRPr="002618BA">
        <w:rPr>
          <w:rFonts w:ascii="Times New Roman" w:hAnsi="Times New Roman" w:cs="Times New Roman"/>
          <w:sz w:val="24"/>
          <w:szCs w:val="24"/>
        </w:rPr>
        <w:t xml:space="preserve">asal 1754 KUHPerdata dapat dijadikan sebagai acuan pelaksanaan perjanjian utang-piutang antara nasabah (debitur) dengan bank (kreditur). Undang-Undang No. 10 Tahun 1998 tentang Perubahan Undang-Undang No. 7 Tahun 1992 tentang Perbankan, tidak  mengenal istilah perjanjian </w:t>
      </w:r>
      <w:r w:rsidRPr="002618BA">
        <w:rPr>
          <w:rFonts w:ascii="Times New Roman" w:hAnsi="Times New Roman" w:cs="Times New Roman"/>
          <w:sz w:val="24"/>
          <w:szCs w:val="24"/>
        </w:rPr>
        <w:lastRenderedPageBreak/>
        <w:t>kredit. Istilah  perjanjian kredit ditemukan dalam Instruksi Presidium  Kabinet No. 15/EK/10 tanggal 3 Oktober 1966 jo Surat Edaran Bank Negara Indonesia unit I No. 2/539/UPK/Pemb tanggal 8 Oktober 1966 yang menginstruksikan kepada masyarakat perbankan bahwa dalam memberikan kredit dalam  bentuk apapun, bank-bank wajib menggunakan akad perjanjian kredit.</w:t>
      </w:r>
      <w:r w:rsidRPr="00BD4830">
        <w:rPr>
          <w:rStyle w:val="FootnoteReference"/>
          <w:rFonts w:ascii="Times New Roman" w:hAnsi="Times New Roman" w:cs="Times New Roman"/>
          <w:sz w:val="24"/>
          <w:szCs w:val="24"/>
        </w:rPr>
        <w:footnoteReference w:id="3"/>
      </w:r>
    </w:p>
    <w:p w:rsidR="00AA6F3E" w:rsidRDefault="00AA6F3E" w:rsidP="00AA6F3E">
      <w:pPr>
        <w:spacing w:line="480" w:lineRule="auto"/>
        <w:ind w:firstLine="851"/>
        <w:jc w:val="both"/>
        <w:rPr>
          <w:rFonts w:ascii="Times New Roman" w:hAnsi="Times New Roman" w:cs="Times New Roman"/>
          <w:sz w:val="24"/>
          <w:szCs w:val="24"/>
        </w:rPr>
      </w:pPr>
      <w:r w:rsidRPr="00BD4830">
        <w:rPr>
          <w:rFonts w:ascii="Times New Roman" w:hAnsi="Times New Roman" w:cs="Times New Roman"/>
          <w:sz w:val="24"/>
          <w:szCs w:val="24"/>
        </w:rPr>
        <w:t>Perjanjian kredit dapat berbentuk lisan maupun tulisan, karena hal yang te</w:t>
      </w:r>
      <w:r>
        <w:rPr>
          <w:rFonts w:ascii="Times New Roman" w:hAnsi="Times New Roman" w:cs="Times New Roman"/>
          <w:sz w:val="24"/>
          <w:szCs w:val="24"/>
        </w:rPr>
        <w:t>r</w:t>
      </w:r>
      <w:r w:rsidRPr="00BD4830">
        <w:rPr>
          <w:rFonts w:ascii="Times New Roman" w:hAnsi="Times New Roman" w:cs="Times New Roman"/>
          <w:sz w:val="24"/>
          <w:szCs w:val="24"/>
        </w:rPr>
        <w:t>penting adalah dapat terpenuhinya ketentuan Pasal 1320 KUHPerdata tentang syarat sahnya perjanjian.</w:t>
      </w:r>
      <w:r w:rsidRPr="00BD4830">
        <w:rPr>
          <w:rStyle w:val="FootnoteReference"/>
          <w:rFonts w:ascii="Times New Roman" w:hAnsi="Times New Roman" w:cs="Times New Roman"/>
          <w:sz w:val="24"/>
          <w:szCs w:val="24"/>
        </w:rPr>
        <w:footnoteReference w:id="4"/>
      </w:r>
      <w:r w:rsidRPr="00BD4830">
        <w:rPr>
          <w:rFonts w:ascii="Times New Roman" w:hAnsi="Times New Roman" w:cs="Times New Roman"/>
          <w:sz w:val="24"/>
          <w:szCs w:val="24"/>
        </w:rPr>
        <w:t xml:space="preserve"> Namun penjelasan Pasal 8 Undang-Undang No. 10 Tahun 1998 tentang Perubahan Undang-Undang No. 7 Tahun 1992 tentang Perbankan  mewajibkan  kepada pemberi kredit dalam hal ini adalah pihak bank untuk membuat perjanjian secara tertulis. Meskipun tidak secara eksplisit ditentukan dalam pasal 8 bahwa perjanjian  kredit harus dibuat secara tertulis, namun dalam penjelasan Pasal 8 ayat (2) butir a mencantumkan bahwa pemberian kredit atau pembiayaan</w:t>
      </w:r>
      <w:r>
        <w:rPr>
          <w:rFonts w:ascii="Times New Roman" w:hAnsi="Times New Roman" w:cs="Times New Roman"/>
          <w:sz w:val="24"/>
          <w:szCs w:val="24"/>
        </w:rPr>
        <w:t xml:space="preserve"> </w:t>
      </w:r>
      <w:r w:rsidRPr="00BD4830">
        <w:rPr>
          <w:rFonts w:ascii="Times New Roman" w:hAnsi="Times New Roman" w:cs="Times New Roman"/>
          <w:sz w:val="24"/>
          <w:szCs w:val="24"/>
        </w:rPr>
        <w:t xml:space="preserve">berdasarkan prinsip syariah dibuat dalam bentuk perjanjian tertulis. Hal ini  berkorelasi dengan hakekat dibuatnya perjanjian, yaitu untuk keperluan pembuktian. </w:t>
      </w:r>
      <w:r>
        <w:rPr>
          <w:rFonts w:ascii="Times New Roman" w:hAnsi="Times New Roman" w:cs="Times New Roman"/>
          <w:sz w:val="24"/>
          <w:szCs w:val="24"/>
        </w:rPr>
        <w:t xml:space="preserve">Saat ini, </w:t>
      </w:r>
      <w:r w:rsidRPr="00BD4830">
        <w:rPr>
          <w:rFonts w:ascii="Times New Roman" w:hAnsi="Times New Roman" w:cs="Times New Roman"/>
          <w:sz w:val="24"/>
          <w:szCs w:val="24"/>
        </w:rPr>
        <w:t>perjanjian yang bersifat lisan tentu  sudah tidak disarankan lagi meskipun diperbolehkan oleh ketentuan undang-undang  namun pada kenyataannya sangat sulit untuk dijadikan alat bukti dalam hal muncul sengketa di antara para pihak.</w:t>
      </w:r>
    </w:p>
    <w:p w:rsidR="00AA6F3E" w:rsidRDefault="00AA6F3E" w:rsidP="00AA6F3E">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lastRenderedPageBreak/>
        <w:t xml:space="preserve">Substansi perjanjian kredit antar bank belum terdapat keseragaman dan cenderung berlainan. Namun pada dasarnya, prototipe suatu perjanjian kredit harus memenuhi enam syarat minimal, yaitu : 1) jumlah utang; (2) besarnya bunga; (3) waktu pelunasan; (4) cara-cara pembayaran; (5) klausul </w:t>
      </w:r>
      <w:r w:rsidRPr="00FE4FD6">
        <w:rPr>
          <w:rFonts w:ascii="Times New Roman" w:hAnsi="Times New Roman" w:cs="Times New Roman"/>
          <w:i/>
          <w:sz w:val="24"/>
          <w:szCs w:val="24"/>
        </w:rPr>
        <w:t>opeisbearheid</w:t>
      </w:r>
      <w:r>
        <w:rPr>
          <w:rFonts w:ascii="Times New Roman" w:hAnsi="Times New Roman" w:cs="Times New Roman"/>
          <w:sz w:val="24"/>
          <w:szCs w:val="24"/>
        </w:rPr>
        <w:t>; (6) barang jaminan.</w:t>
      </w:r>
      <w:r>
        <w:rPr>
          <w:rStyle w:val="FootnoteReference"/>
          <w:rFonts w:ascii="Times New Roman" w:hAnsi="Times New Roman" w:cs="Times New Roman"/>
          <w:sz w:val="24"/>
          <w:szCs w:val="24"/>
        </w:rPr>
        <w:footnoteReference w:id="5"/>
      </w:r>
    </w:p>
    <w:p w:rsidR="00AA6F3E" w:rsidRPr="00BD4830" w:rsidRDefault="00AA6F3E" w:rsidP="00AA6F3E">
      <w:pPr>
        <w:pStyle w:val="ListParagraph"/>
        <w:spacing w:line="480" w:lineRule="auto"/>
        <w:ind w:left="0" w:firstLine="851"/>
        <w:jc w:val="both"/>
        <w:rPr>
          <w:rFonts w:ascii="Times New Roman" w:hAnsi="Times New Roman" w:cs="Times New Roman"/>
          <w:sz w:val="24"/>
          <w:szCs w:val="24"/>
        </w:rPr>
      </w:pPr>
      <w:r w:rsidRPr="00BD4830">
        <w:rPr>
          <w:rFonts w:ascii="Times New Roman" w:hAnsi="Times New Roman" w:cs="Times New Roman"/>
          <w:sz w:val="24"/>
          <w:szCs w:val="24"/>
        </w:rPr>
        <w:t xml:space="preserve">Kata kredit berasal dari bahasa Romawi, yakni </w:t>
      </w:r>
      <w:r w:rsidRPr="00BD4830">
        <w:rPr>
          <w:rFonts w:ascii="Times New Roman" w:hAnsi="Times New Roman" w:cs="Times New Roman"/>
          <w:i/>
          <w:sz w:val="24"/>
          <w:szCs w:val="24"/>
        </w:rPr>
        <w:t>credere</w:t>
      </w:r>
      <w:r w:rsidRPr="00BD4830">
        <w:rPr>
          <w:rFonts w:ascii="Times New Roman" w:hAnsi="Times New Roman" w:cs="Times New Roman"/>
          <w:sz w:val="24"/>
          <w:szCs w:val="24"/>
        </w:rPr>
        <w:t xml:space="preserve"> yang artinya percaya,</w:t>
      </w:r>
      <w:r w:rsidRPr="00BD4830">
        <w:rPr>
          <w:rStyle w:val="FootnoteReference"/>
          <w:rFonts w:ascii="Times New Roman" w:hAnsi="Times New Roman" w:cs="Times New Roman"/>
          <w:sz w:val="24"/>
          <w:szCs w:val="24"/>
        </w:rPr>
        <w:footnoteReference w:id="6"/>
      </w:r>
      <w:r w:rsidRPr="00BD4830">
        <w:rPr>
          <w:rFonts w:ascii="Times New Roman" w:hAnsi="Times New Roman" w:cs="Times New Roman"/>
          <w:sz w:val="24"/>
          <w:szCs w:val="24"/>
        </w:rPr>
        <w:t xml:space="preserve"> bila dihubungkan dengan bank, maka terkandung pengertian bahwa bank selaku kreditur percaya meminjamkan uang kepada nasabah atau debitur, karena debitur dapat dipercaya kemampuannya untuk membayar lunas pinjamannya setelah jangka waktu yang ditentukan.</w:t>
      </w:r>
      <w:r w:rsidRPr="00BD4830">
        <w:rPr>
          <w:rStyle w:val="FootnoteReference"/>
          <w:rFonts w:ascii="Times New Roman" w:hAnsi="Times New Roman" w:cs="Times New Roman"/>
          <w:sz w:val="24"/>
          <w:szCs w:val="24"/>
        </w:rPr>
        <w:footnoteReference w:id="7"/>
      </w:r>
      <w:r>
        <w:rPr>
          <w:rFonts w:ascii="Times New Roman" w:hAnsi="Times New Roman" w:cs="Times New Roman"/>
          <w:sz w:val="24"/>
          <w:szCs w:val="24"/>
        </w:rPr>
        <w:t xml:space="preserve"> </w:t>
      </w:r>
      <w:r w:rsidRPr="00BD4830">
        <w:rPr>
          <w:rFonts w:ascii="Times New Roman" w:hAnsi="Times New Roman" w:cs="Times New Roman"/>
          <w:sz w:val="24"/>
          <w:szCs w:val="24"/>
        </w:rPr>
        <w:t>Undang-Undang Nomor 10 Tahun 1998  tentang Perubahan Undang-Undang Nomor 7 Tahun 1992 tentang Perbankan menggunakan istilah kredit untuk me</w:t>
      </w:r>
      <w:r>
        <w:rPr>
          <w:rFonts w:ascii="Times New Roman" w:hAnsi="Times New Roman" w:cs="Times New Roman"/>
          <w:sz w:val="24"/>
          <w:szCs w:val="24"/>
        </w:rPr>
        <w:t>n</w:t>
      </w:r>
      <w:r w:rsidRPr="00BD4830">
        <w:rPr>
          <w:rFonts w:ascii="Times New Roman" w:hAnsi="Times New Roman" w:cs="Times New Roman"/>
          <w:sz w:val="24"/>
          <w:szCs w:val="24"/>
        </w:rPr>
        <w:t xml:space="preserve">yebut adanya perjanjian utang-piutang antara bank (kreditur) dengan nasabah (debitur). </w:t>
      </w:r>
    </w:p>
    <w:p w:rsidR="00AA6F3E" w:rsidRPr="00BD4830" w:rsidRDefault="00AA6F3E" w:rsidP="00AA6F3E">
      <w:pPr>
        <w:pStyle w:val="ListParagraph"/>
        <w:spacing w:line="480" w:lineRule="auto"/>
        <w:ind w:left="0" w:firstLine="851"/>
        <w:jc w:val="both"/>
        <w:rPr>
          <w:rFonts w:ascii="Times New Roman" w:hAnsi="Times New Roman" w:cs="Times New Roman"/>
          <w:sz w:val="24"/>
          <w:szCs w:val="24"/>
        </w:rPr>
      </w:pPr>
      <w:r w:rsidRPr="00BD4830">
        <w:rPr>
          <w:rFonts w:ascii="Times New Roman" w:hAnsi="Times New Roman" w:cs="Times New Roman"/>
          <w:sz w:val="24"/>
          <w:szCs w:val="24"/>
        </w:rPr>
        <w:t>Pengertian kredit dalam undang-undang ini selaras dengan ketentuan mengenai perjanjian pinjam-meminjam yang diatur dalam pasal 1754 KUHPerdata, yaitu adanya dua pihak yang saling terikat dengan kesepakatan untuk meminjamkan sejumlah uang atau tagihan dalam jangka waktu tertentu dengan adanya sejumlah bunga yang harus dibayarkan.</w:t>
      </w:r>
    </w:p>
    <w:p w:rsidR="00AA6F3E" w:rsidRDefault="00AA6F3E" w:rsidP="00AA6F3E">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Beberapa ketentuan yang mengatur tentang pemberian kredit tersebut diatas menekankan bahwa dalam kegiatan utang-piutang selalu dilandasi adanya </w:t>
      </w:r>
      <w:r>
        <w:rPr>
          <w:rFonts w:ascii="Times New Roman" w:hAnsi="Times New Roman" w:cs="Times New Roman"/>
          <w:sz w:val="24"/>
          <w:szCs w:val="24"/>
        </w:rPr>
        <w:lastRenderedPageBreak/>
        <w:t xml:space="preserve">keyakinan dari kreditur bahwa debitur akan sanggup melaksanakan kewajiban pembayaran angsuran.  </w:t>
      </w:r>
      <w:r w:rsidRPr="00BD4830">
        <w:rPr>
          <w:rFonts w:ascii="Times New Roman" w:hAnsi="Times New Roman" w:cs="Times New Roman"/>
          <w:sz w:val="24"/>
          <w:szCs w:val="24"/>
        </w:rPr>
        <w:t>Pasal 8 ayat (1) Undang-Undang Nomor 10 Tahun 1998  tentang Perubahan Undang-Undang Nomor 7 Tahun 1992 tentang Perban</w:t>
      </w:r>
      <w:r>
        <w:rPr>
          <w:rFonts w:ascii="Times New Roman" w:hAnsi="Times New Roman" w:cs="Times New Roman"/>
          <w:sz w:val="24"/>
          <w:szCs w:val="24"/>
        </w:rPr>
        <w:t>kan menentukan bahwa</w:t>
      </w:r>
      <w:r w:rsidRPr="00BD4830">
        <w:rPr>
          <w:rFonts w:ascii="Times New Roman" w:hAnsi="Times New Roman" w:cs="Times New Roman"/>
          <w:sz w:val="24"/>
          <w:szCs w:val="24"/>
        </w:rPr>
        <w:t xml:space="preserve"> pemberian kredit harus didasarkan pada keyakinan atas kemampuan dan kesanggupan nasabah debitur untuk melunasi kewajibannya sesuai dengan yang diperjanjikan.</w:t>
      </w:r>
      <w:r>
        <w:rPr>
          <w:rFonts w:ascii="Times New Roman" w:hAnsi="Times New Roman" w:cs="Times New Roman"/>
          <w:sz w:val="24"/>
          <w:szCs w:val="24"/>
        </w:rPr>
        <w:t xml:space="preserve"> Adrian Sutedi mengemukakan bahwa</w:t>
      </w:r>
      <w:r w:rsidRPr="00BD4830">
        <w:rPr>
          <w:rFonts w:ascii="Times New Roman" w:hAnsi="Times New Roman" w:cs="Times New Roman"/>
          <w:sz w:val="24"/>
          <w:szCs w:val="24"/>
        </w:rPr>
        <w:t xml:space="preserve"> itulah yang disebut sebagai jaminan kredit.</w:t>
      </w:r>
      <w:r w:rsidRPr="00BD4830">
        <w:rPr>
          <w:rStyle w:val="FootnoteReference"/>
          <w:rFonts w:ascii="Times New Roman" w:hAnsi="Times New Roman" w:cs="Times New Roman"/>
          <w:sz w:val="24"/>
          <w:szCs w:val="24"/>
        </w:rPr>
        <w:footnoteReference w:id="8"/>
      </w:r>
      <w:r w:rsidRPr="00BD4830">
        <w:rPr>
          <w:rFonts w:ascii="Times New Roman" w:hAnsi="Times New Roman" w:cs="Times New Roman"/>
          <w:sz w:val="24"/>
          <w:szCs w:val="24"/>
        </w:rPr>
        <w:t xml:space="preserve"> </w:t>
      </w:r>
    </w:p>
    <w:p w:rsidR="00AA6F3E" w:rsidRPr="00BD4830" w:rsidRDefault="00AA6F3E" w:rsidP="00AA6F3E">
      <w:pPr>
        <w:spacing w:line="480" w:lineRule="auto"/>
        <w:ind w:firstLine="851"/>
        <w:jc w:val="both"/>
        <w:rPr>
          <w:rFonts w:ascii="Times New Roman" w:hAnsi="Times New Roman" w:cs="Times New Roman"/>
          <w:sz w:val="24"/>
          <w:szCs w:val="24"/>
        </w:rPr>
      </w:pPr>
      <w:r w:rsidRPr="00BD4830">
        <w:rPr>
          <w:rFonts w:ascii="Times New Roman" w:hAnsi="Times New Roman" w:cs="Times New Roman"/>
          <w:sz w:val="24"/>
          <w:szCs w:val="24"/>
        </w:rPr>
        <w:t xml:space="preserve">Jaminan dalam undang-undang ini disebut sebagai agunan yang berarti jaminan tambahan yang diserahkan nasabah debitur kepada bank dalam rangka pemberian fasilitas kredit atau pembiayaan berdasarkan prinsip syariah. Jaminan ini tidak bersifat utama, namun sebagai hal yang bersifat </w:t>
      </w:r>
      <w:r w:rsidRPr="00794C5E">
        <w:rPr>
          <w:rFonts w:ascii="Times New Roman" w:hAnsi="Times New Roman" w:cs="Times New Roman"/>
          <w:i/>
          <w:sz w:val="24"/>
          <w:szCs w:val="24"/>
        </w:rPr>
        <w:t>accesoir</w:t>
      </w:r>
      <w:r w:rsidRPr="00BD4830">
        <w:rPr>
          <w:rFonts w:ascii="Times New Roman" w:hAnsi="Times New Roman" w:cs="Times New Roman"/>
          <w:sz w:val="24"/>
          <w:szCs w:val="24"/>
        </w:rPr>
        <w:t xml:space="preserve"> atau tambahan.</w:t>
      </w:r>
    </w:p>
    <w:p w:rsidR="00AA6F3E" w:rsidRDefault="00AA6F3E" w:rsidP="00AA6F3E">
      <w:pPr>
        <w:spacing w:line="480" w:lineRule="auto"/>
        <w:ind w:firstLine="851"/>
        <w:jc w:val="both"/>
        <w:rPr>
          <w:rFonts w:ascii="Times New Roman" w:hAnsi="Times New Roman" w:cs="Times New Roman"/>
          <w:sz w:val="24"/>
          <w:szCs w:val="24"/>
        </w:rPr>
      </w:pPr>
      <w:r w:rsidRPr="00BD4830">
        <w:rPr>
          <w:rFonts w:ascii="Times New Roman" w:hAnsi="Times New Roman" w:cs="Times New Roman"/>
          <w:sz w:val="24"/>
          <w:szCs w:val="24"/>
        </w:rPr>
        <w:t>Sebagai bentuk perlindungan hukum terhadap pemberian kredit, kreditur selain membuat perjanjian kredit (</w:t>
      </w:r>
      <w:r w:rsidRPr="00BD4830">
        <w:rPr>
          <w:rFonts w:ascii="Times New Roman" w:hAnsi="Times New Roman" w:cs="Times New Roman"/>
          <w:i/>
          <w:sz w:val="24"/>
          <w:szCs w:val="24"/>
        </w:rPr>
        <w:t>credit overeenkomst</w:t>
      </w:r>
      <w:r w:rsidRPr="00BD4830">
        <w:rPr>
          <w:rFonts w:ascii="Times New Roman" w:hAnsi="Times New Roman" w:cs="Times New Roman"/>
          <w:sz w:val="24"/>
          <w:szCs w:val="24"/>
        </w:rPr>
        <w:t xml:space="preserve">) sebagai alat bukti adanya hutang  dan sekaligus mengatur hak-hak dan kewajiban secara lengkap, kreditur juga membuat akta pengakuan hutang notariil. Akta pengakuan hutang merupakan perjanjian sepihak, di dalamnya hanya dapat memuat suatu kewajiban untuk membayar hutang sejumlah uang tertentu/ pasti. Akta pengakuan hutang yang dibuat secara notariil atau di buat di hadapan pejabat notaris sesuai dengan Pasal 332 HIR/ RBG, mempunyai kekuatan hukum yang sama seperti keputusan hakim yang tetap yang berarti akta pengakuan hutang  mempunyai kekuatan </w:t>
      </w:r>
      <w:r w:rsidRPr="00BD4830">
        <w:rPr>
          <w:rFonts w:ascii="Times New Roman" w:hAnsi="Times New Roman" w:cs="Times New Roman"/>
          <w:sz w:val="24"/>
          <w:szCs w:val="24"/>
        </w:rPr>
        <w:lastRenderedPageBreak/>
        <w:t>eksekutorial.</w:t>
      </w:r>
      <w:r w:rsidRPr="00BD4830">
        <w:rPr>
          <w:rStyle w:val="FootnoteReference"/>
          <w:rFonts w:ascii="Times New Roman" w:hAnsi="Times New Roman" w:cs="Times New Roman"/>
          <w:sz w:val="24"/>
          <w:szCs w:val="24"/>
        </w:rPr>
        <w:footnoteReference w:id="9"/>
      </w:r>
      <w:r w:rsidRPr="00BD4830">
        <w:rPr>
          <w:rFonts w:ascii="Times New Roman" w:hAnsi="Times New Roman" w:cs="Times New Roman"/>
          <w:sz w:val="24"/>
          <w:szCs w:val="24"/>
        </w:rPr>
        <w:t xml:space="preserve"> Sehingga dapat diambil kesimpulan bahwa perjanjian kredit</w:t>
      </w:r>
      <w:r>
        <w:rPr>
          <w:rFonts w:ascii="Times New Roman" w:hAnsi="Times New Roman" w:cs="Times New Roman"/>
          <w:sz w:val="24"/>
          <w:szCs w:val="24"/>
        </w:rPr>
        <w:t xml:space="preserve"> </w:t>
      </w:r>
      <w:r w:rsidRPr="00BD4830">
        <w:rPr>
          <w:rFonts w:ascii="Times New Roman" w:hAnsi="Times New Roman" w:cs="Times New Roman"/>
          <w:sz w:val="24"/>
          <w:szCs w:val="24"/>
        </w:rPr>
        <w:t>berfungsi sebagai alat bukti tunggal yaitu alat bukti biasa, sedangkan akta pengakuan hutang  berfungsi ganda sebagai alat bukti sekaligus mempunyai kekuatan eksekutorial.</w:t>
      </w:r>
    </w:p>
    <w:p w:rsidR="00AA6F3E" w:rsidRDefault="00AA6F3E" w:rsidP="00AA6F3E">
      <w:pPr>
        <w:pStyle w:val="ListParagraph"/>
        <w:spacing w:line="480" w:lineRule="auto"/>
        <w:ind w:left="0" w:firstLine="851"/>
        <w:jc w:val="both"/>
        <w:rPr>
          <w:rFonts w:ascii="Times New Roman" w:hAnsi="Times New Roman" w:cs="Times New Roman"/>
          <w:sz w:val="24"/>
          <w:szCs w:val="24"/>
        </w:rPr>
      </w:pPr>
      <w:r w:rsidRPr="00BD4830">
        <w:rPr>
          <w:rFonts w:ascii="Times New Roman" w:hAnsi="Times New Roman" w:cs="Times New Roman"/>
          <w:sz w:val="24"/>
          <w:szCs w:val="24"/>
        </w:rPr>
        <w:t>Jaminan kredit adalah segala sesuatu yang mempunyai nilai mudah untuk diuangkan yang diikat dengan janji sebagai jaminan untuk pembayaran dari hutang debitur berdasarkan perjanjian kredit yang dibuat kreditur dan debitur.</w:t>
      </w:r>
      <w:r w:rsidRPr="00BD4830">
        <w:rPr>
          <w:rStyle w:val="FootnoteReference"/>
          <w:rFonts w:ascii="Times New Roman" w:hAnsi="Times New Roman" w:cs="Times New Roman"/>
          <w:sz w:val="24"/>
          <w:szCs w:val="24"/>
        </w:rPr>
        <w:footnoteReference w:id="10"/>
      </w:r>
      <w:r>
        <w:rPr>
          <w:rFonts w:ascii="Times New Roman" w:hAnsi="Times New Roman" w:cs="Times New Roman"/>
          <w:sz w:val="24"/>
          <w:szCs w:val="24"/>
        </w:rPr>
        <w:t xml:space="preserve"> </w:t>
      </w:r>
      <w:r w:rsidRPr="00BD4830">
        <w:rPr>
          <w:rFonts w:ascii="Times New Roman" w:hAnsi="Times New Roman" w:cs="Times New Roman"/>
          <w:sz w:val="24"/>
          <w:szCs w:val="24"/>
        </w:rPr>
        <w:t xml:space="preserve">Benda yang dapat dipergunakan sebagai jaminan atas pemberian kredit dapat berupa benda materiil seperti kendaraan, tanah dan bangunan, serta perhiasan. Selain benda materiil  terdapat benda immateriil yang dapat digunakan sebagai jaminan, yaitu : tagihan atas piutang, sertipikat deposito, saham, wesel, tabungan, dll. </w:t>
      </w:r>
    </w:p>
    <w:p w:rsidR="00AA6F3E" w:rsidRPr="00BD4830" w:rsidRDefault="00AA6F3E" w:rsidP="00AA6F3E">
      <w:pPr>
        <w:pStyle w:val="ListParagraph"/>
        <w:spacing w:line="480" w:lineRule="auto"/>
        <w:ind w:left="0" w:firstLine="851"/>
        <w:jc w:val="both"/>
        <w:rPr>
          <w:rFonts w:ascii="Times New Roman" w:hAnsi="Times New Roman" w:cs="Times New Roman"/>
          <w:sz w:val="24"/>
          <w:szCs w:val="24"/>
        </w:rPr>
      </w:pPr>
      <w:r w:rsidRPr="00BD4830">
        <w:rPr>
          <w:rFonts w:ascii="Times New Roman" w:hAnsi="Times New Roman" w:cs="Times New Roman"/>
          <w:sz w:val="24"/>
          <w:szCs w:val="24"/>
        </w:rPr>
        <w:t>Prof. Subekti</w:t>
      </w:r>
      <w:r>
        <w:rPr>
          <w:rFonts w:ascii="Times New Roman" w:hAnsi="Times New Roman" w:cs="Times New Roman"/>
          <w:sz w:val="24"/>
          <w:szCs w:val="24"/>
        </w:rPr>
        <w:t xml:space="preserve"> mengemukakan bahwa</w:t>
      </w:r>
      <w:r w:rsidRPr="00BD4830">
        <w:rPr>
          <w:rFonts w:ascii="Times New Roman" w:hAnsi="Times New Roman" w:cs="Times New Roman"/>
          <w:sz w:val="24"/>
          <w:szCs w:val="24"/>
        </w:rPr>
        <w:t xml:space="preserve"> jaminan  yang baik atau ideal adalah jamian yang dapat memenuhi persyaratan berikut :</w:t>
      </w:r>
      <w:r w:rsidRPr="00BD4830">
        <w:rPr>
          <w:rStyle w:val="FootnoteReference"/>
          <w:rFonts w:ascii="Times New Roman" w:hAnsi="Times New Roman" w:cs="Times New Roman"/>
          <w:sz w:val="24"/>
          <w:szCs w:val="24"/>
        </w:rPr>
        <w:footnoteReference w:id="11"/>
      </w:r>
    </w:p>
    <w:p w:rsidR="00AA6F3E" w:rsidRPr="00BD4830" w:rsidRDefault="00AA6F3E" w:rsidP="00AA6F3E">
      <w:pPr>
        <w:pStyle w:val="ListParagraph"/>
        <w:numPr>
          <w:ilvl w:val="0"/>
          <w:numId w:val="5"/>
        </w:numPr>
        <w:spacing w:line="480" w:lineRule="auto"/>
        <w:ind w:left="0"/>
        <w:jc w:val="both"/>
        <w:rPr>
          <w:rFonts w:ascii="Times New Roman" w:hAnsi="Times New Roman" w:cs="Times New Roman"/>
          <w:sz w:val="24"/>
          <w:szCs w:val="24"/>
        </w:rPr>
      </w:pPr>
      <w:r w:rsidRPr="00BD4830">
        <w:rPr>
          <w:rFonts w:ascii="Times New Roman" w:hAnsi="Times New Roman" w:cs="Times New Roman"/>
          <w:sz w:val="24"/>
          <w:szCs w:val="24"/>
        </w:rPr>
        <w:t xml:space="preserve">Jaminan yang dapat secara mudah membantu perolehan kredit itu oleh para pihak yang memerlukan. </w:t>
      </w:r>
    </w:p>
    <w:p w:rsidR="00AA6F3E" w:rsidRPr="00BD4830" w:rsidRDefault="00AA6F3E" w:rsidP="00AA6F3E">
      <w:pPr>
        <w:pStyle w:val="ListParagraph"/>
        <w:numPr>
          <w:ilvl w:val="0"/>
          <w:numId w:val="5"/>
        </w:numPr>
        <w:spacing w:line="480" w:lineRule="auto"/>
        <w:ind w:left="0"/>
        <w:jc w:val="both"/>
        <w:rPr>
          <w:rFonts w:ascii="Times New Roman" w:hAnsi="Times New Roman" w:cs="Times New Roman"/>
          <w:sz w:val="24"/>
          <w:szCs w:val="24"/>
        </w:rPr>
      </w:pPr>
      <w:r w:rsidRPr="00BD4830">
        <w:rPr>
          <w:rFonts w:ascii="Times New Roman" w:hAnsi="Times New Roman" w:cs="Times New Roman"/>
          <w:sz w:val="24"/>
          <w:szCs w:val="24"/>
        </w:rPr>
        <w:lastRenderedPageBreak/>
        <w:t>Jaminan yang tidak melemahkan potensi (kekuatan) si pencari kredit untuk melakukan (meneruskan) usahanya.</w:t>
      </w:r>
    </w:p>
    <w:p w:rsidR="00AA6F3E" w:rsidRDefault="00AA6F3E" w:rsidP="00AA6F3E">
      <w:pPr>
        <w:pStyle w:val="ListParagraph"/>
        <w:numPr>
          <w:ilvl w:val="0"/>
          <w:numId w:val="5"/>
        </w:numPr>
        <w:spacing w:line="480" w:lineRule="auto"/>
        <w:ind w:left="0"/>
        <w:jc w:val="both"/>
        <w:rPr>
          <w:rFonts w:ascii="Times New Roman" w:hAnsi="Times New Roman" w:cs="Times New Roman"/>
          <w:sz w:val="24"/>
          <w:szCs w:val="24"/>
        </w:rPr>
      </w:pPr>
      <w:r w:rsidRPr="00BD4830">
        <w:rPr>
          <w:rFonts w:ascii="Times New Roman" w:hAnsi="Times New Roman" w:cs="Times New Roman"/>
          <w:sz w:val="24"/>
          <w:szCs w:val="24"/>
        </w:rPr>
        <w:t>Jaminan yang memberikan kepastian kepada si pemberi kredit dalam arti bahwa barang jaminan setiap waktu tersedia untuk dieksekusi  yaitu bila perlu dapat mudah diuangkan untuk  melunasi hutangnya si penerima (pengambil) kredit.</w:t>
      </w:r>
    </w:p>
    <w:p w:rsidR="00AA6F3E" w:rsidRPr="00BD4830" w:rsidRDefault="00AA6F3E" w:rsidP="00AA6F3E">
      <w:pPr>
        <w:pStyle w:val="ListParagraph"/>
        <w:spacing w:line="240" w:lineRule="auto"/>
        <w:ind w:left="0"/>
        <w:jc w:val="both"/>
        <w:rPr>
          <w:rFonts w:ascii="Times New Roman" w:hAnsi="Times New Roman" w:cs="Times New Roman"/>
          <w:sz w:val="24"/>
          <w:szCs w:val="24"/>
        </w:rPr>
      </w:pPr>
    </w:p>
    <w:p w:rsidR="00AA6F3E" w:rsidRPr="00BD4830" w:rsidRDefault="00AA6F3E" w:rsidP="00AA6F3E">
      <w:pPr>
        <w:pStyle w:val="ListParagraph"/>
        <w:spacing w:line="480" w:lineRule="auto"/>
        <w:ind w:left="0" w:firstLine="850"/>
        <w:jc w:val="both"/>
        <w:rPr>
          <w:rFonts w:ascii="Times New Roman" w:hAnsi="Times New Roman" w:cs="Times New Roman"/>
          <w:sz w:val="24"/>
          <w:szCs w:val="24"/>
        </w:rPr>
      </w:pPr>
      <w:r w:rsidRPr="00BD4830">
        <w:rPr>
          <w:rFonts w:ascii="Times New Roman" w:hAnsi="Times New Roman" w:cs="Times New Roman"/>
          <w:sz w:val="24"/>
          <w:szCs w:val="24"/>
        </w:rPr>
        <w:t>Pada umumnya, jenis-jenis jaminan kredit menurut KUHPerdata yang merupakan salah satu sumber</w:t>
      </w:r>
      <w:r>
        <w:rPr>
          <w:rFonts w:ascii="Times New Roman" w:hAnsi="Times New Roman" w:cs="Times New Roman"/>
          <w:sz w:val="24"/>
          <w:szCs w:val="24"/>
        </w:rPr>
        <w:t xml:space="preserve"> </w:t>
      </w:r>
      <w:r w:rsidRPr="00BD4830">
        <w:rPr>
          <w:rFonts w:ascii="Times New Roman" w:hAnsi="Times New Roman" w:cs="Times New Roman"/>
          <w:sz w:val="24"/>
          <w:szCs w:val="24"/>
        </w:rPr>
        <w:t>di bidang keperdataan  mengatur klasifikasi jaminan. Selain ketentuan dalam KUHPerdata terdapat beberapa peraturan perundang-undangan yang merupakan pembaharuan  dari KUHPerdata yang mengelompokkan jami</w:t>
      </w:r>
      <w:r>
        <w:rPr>
          <w:rFonts w:ascii="Times New Roman" w:hAnsi="Times New Roman" w:cs="Times New Roman"/>
          <w:sz w:val="24"/>
          <w:szCs w:val="24"/>
        </w:rPr>
        <w:t>nan kredit menurut sifatnya, obj</w:t>
      </w:r>
      <w:r w:rsidRPr="00BD4830">
        <w:rPr>
          <w:rFonts w:ascii="Times New Roman" w:hAnsi="Times New Roman" w:cs="Times New Roman"/>
          <w:sz w:val="24"/>
          <w:szCs w:val="24"/>
        </w:rPr>
        <w:t>eknya dan lain-lain.</w:t>
      </w:r>
      <w:r w:rsidRPr="00BD4830">
        <w:rPr>
          <w:rStyle w:val="FootnoteReference"/>
          <w:rFonts w:ascii="Times New Roman" w:hAnsi="Times New Roman" w:cs="Times New Roman"/>
          <w:sz w:val="24"/>
          <w:szCs w:val="24"/>
        </w:rPr>
        <w:footnoteReference w:id="12"/>
      </w:r>
    </w:p>
    <w:p w:rsidR="00AA6F3E" w:rsidRDefault="00AA6F3E" w:rsidP="00AA6F3E">
      <w:pPr>
        <w:pStyle w:val="ListParagraph"/>
        <w:spacing w:line="480" w:lineRule="auto"/>
        <w:ind w:left="0" w:firstLine="851"/>
        <w:jc w:val="both"/>
        <w:rPr>
          <w:rFonts w:ascii="Times New Roman" w:hAnsi="Times New Roman" w:cs="Times New Roman"/>
          <w:sz w:val="24"/>
          <w:szCs w:val="24"/>
        </w:rPr>
      </w:pPr>
      <w:r w:rsidRPr="00BD4830">
        <w:rPr>
          <w:rFonts w:ascii="Times New Roman" w:hAnsi="Times New Roman" w:cs="Times New Roman"/>
          <w:sz w:val="24"/>
          <w:szCs w:val="24"/>
        </w:rPr>
        <w:t>Jaminan yang diberikan oleh debitur kepada kreditur dalam rangka pelunasan utangnya harus diikat dalam sebuah perjanjian pengikatan jaminan. Perjanjian ini merupakan perjanjian yang bersifat tambahan (</w:t>
      </w:r>
      <w:r w:rsidRPr="00586E35">
        <w:rPr>
          <w:rFonts w:ascii="Times New Roman" w:hAnsi="Times New Roman" w:cs="Times New Roman"/>
          <w:i/>
          <w:sz w:val="24"/>
          <w:szCs w:val="24"/>
        </w:rPr>
        <w:t>accesoir</w:t>
      </w:r>
      <w:r>
        <w:rPr>
          <w:rFonts w:ascii="Times New Roman" w:hAnsi="Times New Roman" w:cs="Times New Roman"/>
          <w:sz w:val="24"/>
          <w:szCs w:val="24"/>
        </w:rPr>
        <w:t>) di samping perjanjian kredi</w:t>
      </w:r>
      <w:r w:rsidRPr="00BD4830">
        <w:rPr>
          <w:rFonts w:ascii="Times New Roman" w:hAnsi="Times New Roman" w:cs="Times New Roman"/>
          <w:sz w:val="24"/>
          <w:szCs w:val="24"/>
        </w:rPr>
        <w:t>t. Perjanjian pengikatan jaminan tidak berdiri sendiri, namun bergantung pada eksistensi perjanjian kredit sebagai perjanjian pokok. Hal ini mengandung pengertian bahwa perjanjian kredit sebagai perjanjian pokok harus dibuat terlebih dahulu dan selanjutnya baru dibuat perjanjia</w:t>
      </w:r>
      <w:r>
        <w:rPr>
          <w:rFonts w:ascii="Times New Roman" w:hAnsi="Times New Roman" w:cs="Times New Roman"/>
          <w:sz w:val="24"/>
          <w:szCs w:val="24"/>
        </w:rPr>
        <w:t>n tambahannya, yaitu perjanjian</w:t>
      </w:r>
      <w:r w:rsidRPr="00BD4830">
        <w:rPr>
          <w:rFonts w:ascii="Times New Roman" w:hAnsi="Times New Roman" w:cs="Times New Roman"/>
          <w:sz w:val="24"/>
          <w:szCs w:val="24"/>
        </w:rPr>
        <w:t xml:space="preserve"> pengikatan jaminan. Hal ini juga berlaku sebaliknya, apabila perjanjian kredit sebagai perjanjian pokok hapus atau selesai, maka perjanjian tambahannya (perjanjian pengikatan jaminan) ikut hapus atau berakhir. Termasuk jika perjanjian pokok beralih karena </w:t>
      </w:r>
      <w:r w:rsidRPr="00BD4830">
        <w:rPr>
          <w:rFonts w:ascii="Times New Roman" w:hAnsi="Times New Roman" w:cs="Times New Roman"/>
          <w:i/>
          <w:sz w:val="24"/>
          <w:szCs w:val="24"/>
        </w:rPr>
        <w:t>cessie</w:t>
      </w:r>
      <w:r w:rsidRPr="00BD4830">
        <w:rPr>
          <w:rFonts w:ascii="Times New Roman" w:hAnsi="Times New Roman" w:cs="Times New Roman"/>
          <w:sz w:val="24"/>
          <w:szCs w:val="24"/>
        </w:rPr>
        <w:t xml:space="preserve"> atau </w:t>
      </w:r>
      <w:r w:rsidRPr="00BD4830">
        <w:rPr>
          <w:rFonts w:ascii="Times New Roman" w:hAnsi="Times New Roman" w:cs="Times New Roman"/>
          <w:i/>
          <w:sz w:val="24"/>
          <w:szCs w:val="24"/>
        </w:rPr>
        <w:t>subrogasi</w:t>
      </w:r>
      <w:r w:rsidRPr="00BD4830">
        <w:rPr>
          <w:rFonts w:ascii="Times New Roman" w:hAnsi="Times New Roman" w:cs="Times New Roman"/>
          <w:sz w:val="24"/>
          <w:szCs w:val="24"/>
        </w:rPr>
        <w:t xml:space="preserve">, maka perjanjian </w:t>
      </w:r>
      <w:r w:rsidRPr="00BD4830">
        <w:rPr>
          <w:rFonts w:ascii="Times New Roman" w:hAnsi="Times New Roman" w:cs="Times New Roman"/>
          <w:sz w:val="24"/>
          <w:szCs w:val="24"/>
        </w:rPr>
        <w:lastRenderedPageBreak/>
        <w:t>tambahannya ikut beralih tanpa adanya perjanjian perjanjian peralihan secara khusus.</w:t>
      </w:r>
      <w:r w:rsidRPr="00BD4830">
        <w:rPr>
          <w:rStyle w:val="FootnoteReference"/>
          <w:rFonts w:ascii="Times New Roman" w:hAnsi="Times New Roman" w:cs="Times New Roman"/>
          <w:sz w:val="24"/>
          <w:szCs w:val="24"/>
        </w:rPr>
        <w:footnoteReference w:id="13"/>
      </w:r>
      <w:r>
        <w:rPr>
          <w:rFonts w:ascii="Times New Roman" w:hAnsi="Times New Roman" w:cs="Times New Roman"/>
          <w:sz w:val="24"/>
          <w:szCs w:val="24"/>
        </w:rPr>
        <w:t xml:space="preserve"> Bentuk</w:t>
      </w:r>
      <w:r w:rsidRPr="00BD4830">
        <w:rPr>
          <w:rFonts w:ascii="Times New Roman" w:hAnsi="Times New Roman" w:cs="Times New Roman"/>
          <w:sz w:val="24"/>
          <w:szCs w:val="24"/>
        </w:rPr>
        <w:t xml:space="preserve"> perjanjian pengikatan jaminan  keberadaannya tergantung dengan jenis benda yang menjadi  jaminan apakah termasuk klasifikasi benda bergerak atau benda tidak bergerak. Jenis benda jaminan akan menentukan  bentuk perjanjian pengikatan jaminan. Di Indonesia perjanjian pengikatan jaminan menurut sistem hukum perdata,  dapat dibedakan menjadi lima macam, yaitu : hak tanggungan, </w:t>
      </w:r>
      <w:r w:rsidRPr="00BD4830">
        <w:rPr>
          <w:rFonts w:ascii="Times New Roman" w:hAnsi="Times New Roman" w:cs="Times New Roman"/>
          <w:i/>
          <w:sz w:val="24"/>
          <w:szCs w:val="24"/>
        </w:rPr>
        <w:t>fiducia</w:t>
      </w:r>
      <w:r w:rsidRPr="00BD4830">
        <w:rPr>
          <w:rFonts w:ascii="Times New Roman" w:hAnsi="Times New Roman" w:cs="Times New Roman"/>
          <w:sz w:val="24"/>
          <w:szCs w:val="24"/>
        </w:rPr>
        <w:t xml:space="preserve">, gadai, </w:t>
      </w:r>
      <w:r w:rsidRPr="00BD4830">
        <w:rPr>
          <w:rFonts w:ascii="Times New Roman" w:hAnsi="Times New Roman" w:cs="Times New Roman"/>
          <w:i/>
          <w:sz w:val="24"/>
          <w:szCs w:val="24"/>
        </w:rPr>
        <w:t>borghtocht</w:t>
      </w:r>
      <w:r w:rsidRPr="00BD4830">
        <w:rPr>
          <w:rFonts w:ascii="Times New Roman" w:hAnsi="Times New Roman" w:cs="Times New Roman"/>
          <w:sz w:val="24"/>
          <w:szCs w:val="24"/>
        </w:rPr>
        <w:t xml:space="preserve"> dan</w:t>
      </w:r>
      <w:r>
        <w:rPr>
          <w:rFonts w:ascii="Times New Roman" w:hAnsi="Times New Roman" w:cs="Times New Roman"/>
          <w:sz w:val="24"/>
          <w:szCs w:val="24"/>
        </w:rPr>
        <w:t xml:space="preserve"> </w:t>
      </w:r>
      <w:r w:rsidRPr="0073397D">
        <w:rPr>
          <w:rFonts w:ascii="Times New Roman" w:hAnsi="Times New Roman" w:cs="Times New Roman"/>
          <w:i/>
          <w:sz w:val="24"/>
          <w:szCs w:val="24"/>
        </w:rPr>
        <w:t>cessie</w:t>
      </w:r>
      <w:r w:rsidRPr="00BD4830">
        <w:rPr>
          <w:rFonts w:ascii="Times New Roman" w:hAnsi="Times New Roman" w:cs="Times New Roman"/>
          <w:sz w:val="24"/>
          <w:szCs w:val="24"/>
        </w:rPr>
        <w:t>.</w:t>
      </w:r>
      <w:r>
        <w:rPr>
          <w:rStyle w:val="FootnoteReference"/>
          <w:rFonts w:ascii="Times New Roman" w:hAnsi="Times New Roman" w:cs="Times New Roman"/>
          <w:sz w:val="24"/>
          <w:szCs w:val="24"/>
        </w:rPr>
        <w:footnoteReference w:id="14"/>
      </w:r>
      <w:r w:rsidRPr="00BD4830">
        <w:rPr>
          <w:rFonts w:ascii="Times New Roman" w:hAnsi="Times New Roman" w:cs="Times New Roman"/>
          <w:sz w:val="24"/>
          <w:szCs w:val="24"/>
        </w:rPr>
        <w:t xml:space="preserve"> </w:t>
      </w:r>
    </w:p>
    <w:p w:rsidR="00AA6F3E" w:rsidRPr="000C4FA1" w:rsidRDefault="00AA6F3E" w:rsidP="00AA6F3E">
      <w:pPr>
        <w:pStyle w:val="ListParagraph"/>
        <w:numPr>
          <w:ilvl w:val="3"/>
          <w:numId w:val="1"/>
        </w:numPr>
        <w:spacing w:line="480" w:lineRule="auto"/>
        <w:ind w:left="0"/>
        <w:jc w:val="both"/>
        <w:rPr>
          <w:rFonts w:ascii="Times New Roman" w:hAnsi="Times New Roman" w:cs="Times New Roman"/>
          <w:b/>
          <w:sz w:val="24"/>
          <w:szCs w:val="24"/>
        </w:rPr>
      </w:pPr>
      <w:r w:rsidRPr="000C4FA1">
        <w:rPr>
          <w:rFonts w:ascii="Times New Roman" w:hAnsi="Times New Roman" w:cs="Times New Roman"/>
          <w:b/>
          <w:sz w:val="24"/>
          <w:szCs w:val="24"/>
        </w:rPr>
        <w:t>Hak Tanggungan</w:t>
      </w:r>
    </w:p>
    <w:p w:rsidR="00AA6F3E" w:rsidRDefault="00AA6F3E" w:rsidP="00AA6F3E">
      <w:pPr>
        <w:pStyle w:val="ListParagraph"/>
        <w:spacing w:line="480" w:lineRule="auto"/>
        <w:ind w:left="0" w:firstLine="850"/>
        <w:jc w:val="both"/>
        <w:rPr>
          <w:rFonts w:ascii="Times New Roman" w:hAnsi="Times New Roman" w:cs="Times New Roman"/>
          <w:sz w:val="24"/>
          <w:szCs w:val="24"/>
        </w:rPr>
      </w:pPr>
      <w:r>
        <w:rPr>
          <w:rFonts w:ascii="Times New Roman" w:hAnsi="Times New Roman" w:cs="Times New Roman"/>
          <w:sz w:val="24"/>
          <w:szCs w:val="24"/>
        </w:rPr>
        <w:t xml:space="preserve">Hak tanggungan diberikan untuk menjamin pelunasan utang debitur kepada kreditur, oleh karena itu hak tanggungan merupakan perjanjian </w:t>
      </w:r>
      <w:r w:rsidRPr="00243ABC">
        <w:rPr>
          <w:rFonts w:ascii="Times New Roman" w:hAnsi="Times New Roman" w:cs="Times New Roman"/>
          <w:i/>
          <w:sz w:val="24"/>
          <w:szCs w:val="24"/>
        </w:rPr>
        <w:t>accesoir</w:t>
      </w:r>
      <w:r>
        <w:rPr>
          <w:rFonts w:ascii="Times New Roman" w:hAnsi="Times New Roman" w:cs="Times New Roman"/>
          <w:sz w:val="24"/>
          <w:szCs w:val="24"/>
        </w:rPr>
        <w:t xml:space="preserve"> pada suatu perjanjian yang menimbulkan hubungan hukum utang-piutang sebagai perjanjian pokok. Kelahiran, eksistensi, peralihan, eksekusi, berakhir dan hapusnya hak tanggungan dengan sendirinya ditentukan oleh peralihan dan hapusnya piutang yang dijamin pelunasannya. Tanpa adanya suatu piutang tertentu yang secara tegas dijamin pelunasannya, maka menurut hukum tidak akan ada hak tanggungan.</w:t>
      </w:r>
      <w:r>
        <w:rPr>
          <w:rStyle w:val="FootnoteReference"/>
          <w:rFonts w:ascii="Times New Roman" w:hAnsi="Times New Roman" w:cs="Times New Roman"/>
          <w:sz w:val="24"/>
          <w:szCs w:val="24"/>
        </w:rPr>
        <w:footnoteReference w:id="15"/>
      </w:r>
    </w:p>
    <w:p w:rsidR="00AA6F3E" w:rsidRDefault="00AA6F3E" w:rsidP="00AA6F3E">
      <w:pPr>
        <w:spacing w:line="480" w:lineRule="auto"/>
        <w:ind w:firstLine="850"/>
        <w:jc w:val="both"/>
        <w:rPr>
          <w:rFonts w:ascii="Times New Roman" w:hAnsi="Times New Roman" w:cs="Times New Roman"/>
          <w:sz w:val="24"/>
          <w:szCs w:val="24"/>
        </w:rPr>
      </w:pPr>
      <w:r w:rsidRPr="00BD4830">
        <w:rPr>
          <w:rFonts w:ascii="Times New Roman" w:hAnsi="Times New Roman" w:cs="Times New Roman"/>
          <w:sz w:val="24"/>
          <w:szCs w:val="24"/>
        </w:rPr>
        <w:t>Sebelum diundangkannya UUHT pada tanggal 9 April 1996, ketentuan mengen</w:t>
      </w:r>
      <w:r>
        <w:rPr>
          <w:rFonts w:ascii="Times New Roman" w:hAnsi="Times New Roman" w:cs="Times New Roman"/>
          <w:sz w:val="24"/>
          <w:szCs w:val="24"/>
        </w:rPr>
        <w:t>ai pengikatan jaminan dengan obj</w:t>
      </w:r>
      <w:r w:rsidRPr="00BD4830">
        <w:rPr>
          <w:rFonts w:ascii="Times New Roman" w:hAnsi="Times New Roman" w:cs="Times New Roman"/>
          <w:sz w:val="24"/>
          <w:szCs w:val="24"/>
        </w:rPr>
        <w:t>ek benda tidak bergerak menggunakan ketentuan hipotik (</w:t>
      </w:r>
      <w:r w:rsidRPr="00BD4830">
        <w:rPr>
          <w:rFonts w:ascii="Times New Roman" w:hAnsi="Times New Roman" w:cs="Times New Roman"/>
          <w:i/>
          <w:sz w:val="24"/>
          <w:szCs w:val="24"/>
        </w:rPr>
        <w:t>hypotheek</w:t>
      </w:r>
      <w:r w:rsidRPr="00BD4830">
        <w:rPr>
          <w:rFonts w:ascii="Times New Roman" w:hAnsi="Times New Roman" w:cs="Times New Roman"/>
          <w:sz w:val="24"/>
          <w:szCs w:val="24"/>
        </w:rPr>
        <w:t xml:space="preserve">) yang tercantum dalam Buku II Bab XXI Pasal 1162 </w:t>
      </w:r>
      <w:r w:rsidRPr="00BD4830">
        <w:rPr>
          <w:rFonts w:ascii="Times New Roman" w:hAnsi="Times New Roman" w:cs="Times New Roman"/>
          <w:sz w:val="24"/>
          <w:szCs w:val="24"/>
        </w:rPr>
        <w:lastRenderedPageBreak/>
        <w:t xml:space="preserve">sampai dengan 1232 KUHPerdata dan </w:t>
      </w:r>
      <w:r w:rsidRPr="00BD4830">
        <w:rPr>
          <w:rFonts w:ascii="Times New Roman" w:hAnsi="Times New Roman" w:cs="Times New Roman"/>
          <w:i/>
          <w:sz w:val="24"/>
          <w:szCs w:val="24"/>
        </w:rPr>
        <w:t>Credietverband</w:t>
      </w:r>
      <w:r w:rsidRPr="00BD4830">
        <w:rPr>
          <w:rFonts w:ascii="Times New Roman" w:hAnsi="Times New Roman" w:cs="Times New Roman"/>
          <w:sz w:val="24"/>
          <w:szCs w:val="24"/>
        </w:rPr>
        <w:t xml:space="preserve"> yang diatur dalam S 1908-542 sebagaimana telah diubah dengan S 1937-190. Kedua peraturan ini (</w:t>
      </w:r>
      <w:r w:rsidRPr="00BD4830">
        <w:rPr>
          <w:rFonts w:ascii="Times New Roman" w:hAnsi="Times New Roman" w:cs="Times New Roman"/>
          <w:i/>
          <w:sz w:val="24"/>
          <w:szCs w:val="24"/>
        </w:rPr>
        <w:t>hipotik</w:t>
      </w:r>
      <w:r w:rsidRPr="00BD4830">
        <w:rPr>
          <w:rFonts w:ascii="Times New Roman" w:hAnsi="Times New Roman" w:cs="Times New Roman"/>
          <w:sz w:val="24"/>
          <w:szCs w:val="24"/>
        </w:rPr>
        <w:t xml:space="preserve"> dan </w:t>
      </w:r>
      <w:r w:rsidRPr="00BD4830">
        <w:rPr>
          <w:rFonts w:ascii="Times New Roman" w:hAnsi="Times New Roman" w:cs="Times New Roman"/>
          <w:i/>
          <w:sz w:val="24"/>
          <w:szCs w:val="24"/>
        </w:rPr>
        <w:t>credietverband</w:t>
      </w:r>
      <w:r w:rsidRPr="00BD4830">
        <w:rPr>
          <w:rFonts w:ascii="Times New Roman" w:hAnsi="Times New Roman" w:cs="Times New Roman"/>
          <w:sz w:val="24"/>
          <w:szCs w:val="24"/>
        </w:rPr>
        <w:t>) merupakan produk hukum dari pemerintah kolonial Hindia Belanda yang masih tetap berlaku sampai dengan diundangkannya UUHT. Pembentukan ketentuan mengenai lembaga hak jaminan yang dapat dibebankan atas tanah berikut atau tidak berikut  benda-benda yang berkaitan dengan tanah merupakan amanat dari Undang-undang Nomor. 5 Tahun 1960 tentang Peraturan Dasar Pokok-Pokok Agraria  (UUPA).</w:t>
      </w:r>
      <w:r w:rsidRPr="00BD4830">
        <w:rPr>
          <w:rStyle w:val="FootnoteReference"/>
          <w:rFonts w:ascii="Times New Roman" w:hAnsi="Times New Roman" w:cs="Times New Roman"/>
          <w:sz w:val="24"/>
          <w:szCs w:val="24"/>
        </w:rPr>
        <w:footnoteReference w:id="16"/>
      </w:r>
      <w:r w:rsidRPr="00BD4830">
        <w:rPr>
          <w:rFonts w:ascii="Times New Roman" w:hAnsi="Times New Roman" w:cs="Times New Roman"/>
          <w:sz w:val="24"/>
          <w:szCs w:val="24"/>
        </w:rPr>
        <w:t xml:space="preserve">  Hal ini didasarkan pada alasan bahwa segala ketentuan yang merupakan produk hukum kolonial Belanda dirasakan kurang sesuai dengan sistem hukum di Indonesia. Namun  sampai dengan sebelum diundangkannya UUHT, ketentuan tersebut tetap berlaku untuk menghindari kekosongan hukum. Hal ini ditegaskan dalam Pasa</w:t>
      </w:r>
      <w:r>
        <w:rPr>
          <w:rFonts w:ascii="Times New Roman" w:hAnsi="Times New Roman" w:cs="Times New Roman"/>
          <w:sz w:val="24"/>
          <w:szCs w:val="24"/>
        </w:rPr>
        <w:t>l 57 UUPA yang menentukan bahwa s</w:t>
      </w:r>
      <w:r w:rsidRPr="00BD4830">
        <w:rPr>
          <w:rFonts w:ascii="Times New Roman" w:hAnsi="Times New Roman" w:cs="Times New Roman"/>
          <w:sz w:val="24"/>
          <w:szCs w:val="24"/>
        </w:rPr>
        <w:t xml:space="preserve">egala undang-undang mengenai </w:t>
      </w:r>
      <w:r>
        <w:rPr>
          <w:rFonts w:ascii="Times New Roman" w:hAnsi="Times New Roman" w:cs="Times New Roman"/>
          <w:sz w:val="24"/>
          <w:szCs w:val="24"/>
        </w:rPr>
        <w:t>h</w:t>
      </w:r>
      <w:r w:rsidRPr="00BD4830">
        <w:rPr>
          <w:rFonts w:ascii="Times New Roman" w:hAnsi="Times New Roman" w:cs="Times New Roman"/>
          <w:sz w:val="24"/>
          <w:szCs w:val="24"/>
        </w:rPr>
        <w:t xml:space="preserve">ak </w:t>
      </w:r>
      <w:r>
        <w:rPr>
          <w:rFonts w:ascii="Times New Roman" w:hAnsi="Times New Roman" w:cs="Times New Roman"/>
          <w:sz w:val="24"/>
          <w:szCs w:val="24"/>
        </w:rPr>
        <w:t>t</w:t>
      </w:r>
      <w:r w:rsidRPr="00BD4830">
        <w:rPr>
          <w:rFonts w:ascii="Times New Roman" w:hAnsi="Times New Roman" w:cs="Times New Roman"/>
          <w:sz w:val="24"/>
          <w:szCs w:val="24"/>
        </w:rPr>
        <w:t>anggungan tersebut dalam pasal 51 belum terbentuk  maka yang berlaku ialah ketentuan mengenai hipotik tersebut dala</w:t>
      </w:r>
      <w:r>
        <w:rPr>
          <w:rFonts w:ascii="Times New Roman" w:hAnsi="Times New Roman" w:cs="Times New Roman"/>
          <w:sz w:val="24"/>
          <w:szCs w:val="24"/>
        </w:rPr>
        <w:t>m KU</w:t>
      </w:r>
      <w:r w:rsidRPr="00BD4830">
        <w:rPr>
          <w:rFonts w:ascii="Times New Roman" w:hAnsi="Times New Roman" w:cs="Times New Roman"/>
          <w:sz w:val="24"/>
          <w:szCs w:val="24"/>
        </w:rPr>
        <w:t xml:space="preserve">HPerdata Indonesia dan </w:t>
      </w:r>
      <w:r w:rsidRPr="008B5D86">
        <w:rPr>
          <w:rFonts w:ascii="Times New Roman" w:hAnsi="Times New Roman" w:cs="Times New Roman"/>
          <w:i/>
          <w:sz w:val="24"/>
          <w:szCs w:val="24"/>
        </w:rPr>
        <w:t>Creditverband</w:t>
      </w:r>
      <w:r w:rsidRPr="00BD4830">
        <w:rPr>
          <w:rFonts w:ascii="Times New Roman" w:hAnsi="Times New Roman" w:cs="Times New Roman"/>
          <w:sz w:val="24"/>
          <w:szCs w:val="24"/>
        </w:rPr>
        <w:t xml:space="preserve"> tersebut dalam S. 1908-542 sebagaimana</w:t>
      </w:r>
      <w:r>
        <w:rPr>
          <w:rFonts w:ascii="Times New Roman" w:hAnsi="Times New Roman" w:cs="Times New Roman"/>
          <w:sz w:val="24"/>
          <w:szCs w:val="24"/>
        </w:rPr>
        <w:t xml:space="preserve"> telah diubah dengan S-1937-190</w:t>
      </w:r>
      <w:r w:rsidRPr="00BD4830">
        <w:rPr>
          <w:rFonts w:ascii="Times New Roman" w:hAnsi="Times New Roman" w:cs="Times New Roman"/>
          <w:sz w:val="24"/>
          <w:szCs w:val="24"/>
        </w:rPr>
        <w:t>.</w:t>
      </w:r>
      <w:r w:rsidRPr="00BD4830">
        <w:rPr>
          <w:rStyle w:val="FootnoteReference"/>
          <w:rFonts w:ascii="Times New Roman" w:hAnsi="Times New Roman" w:cs="Times New Roman"/>
          <w:sz w:val="24"/>
          <w:szCs w:val="24"/>
        </w:rPr>
        <w:footnoteReference w:id="17"/>
      </w:r>
      <w:r>
        <w:rPr>
          <w:rFonts w:ascii="Times New Roman" w:hAnsi="Times New Roman" w:cs="Times New Roman"/>
          <w:sz w:val="24"/>
          <w:szCs w:val="24"/>
        </w:rPr>
        <w:t xml:space="preserve"> </w:t>
      </w:r>
    </w:p>
    <w:p w:rsidR="00AA6F3E" w:rsidRPr="00BD4830" w:rsidRDefault="00AA6F3E" w:rsidP="00AA6F3E">
      <w:pPr>
        <w:spacing w:line="480" w:lineRule="auto"/>
        <w:ind w:firstLine="850"/>
        <w:jc w:val="both"/>
        <w:rPr>
          <w:rFonts w:ascii="Times New Roman" w:hAnsi="Times New Roman" w:cs="Times New Roman"/>
          <w:sz w:val="24"/>
          <w:szCs w:val="24"/>
        </w:rPr>
      </w:pPr>
      <w:r w:rsidRPr="00BD4830">
        <w:rPr>
          <w:rFonts w:ascii="Times New Roman" w:hAnsi="Times New Roman" w:cs="Times New Roman"/>
          <w:sz w:val="24"/>
          <w:szCs w:val="24"/>
        </w:rPr>
        <w:t xml:space="preserve">UUHT merupakan perwujudan unifikasi hukum pertanahan nasional, walaupun sebenarnya asas dan ketentuan pokok dalam hipotik masih digunakan. UUHT bersifat penyempurnaan terhadap ketentuan hipotik agar  sesuai dengan </w:t>
      </w:r>
      <w:r w:rsidRPr="00BD4830">
        <w:rPr>
          <w:rFonts w:ascii="Times New Roman" w:hAnsi="Times New Roman" w:cs="Times New Roman"/>
          <w:sz w:val="24"/>
          <w:szCs w:val="24"/>
        </w:rPr>
        <w:lastRenderedPageBreak/>
        <w:t>ketentuan hukum tanah nasional  dan dapat menampung  perkembangan dalam bidang perkreditan  dan kemajuan ekonomi.</w:t>
      </w:r>
      <w:r w:rsidRPr="00BD4830">
        <w:rPr>
          <w:rStyle w:val="FootnoteReference"/>
          <w:rFonts w:ascii="Times New Roman" w:hAnsi="Times New Roman" w:cs="Times New Roman"/>
          <w:sz w:val="24"/>
          <w:szCs w:val="24"/>
        </w:rPr>
        <w:footnoteReference w:id="18"/>
      </w:r>
    </w:p>
    <w:p w:rsidR="00AA6F3E" w:rsidRPr="00164C5A" w:rsidRDefault="00AA6F3E" w:rsidP="00AA6F3E">
      <w:pPr>
        <w:pStyle w:val="ListParagraph"/>
        <w:numPr>
          <w:ilvl w:val="0"/>
          <w:numId w:val="13"/>
        </w:numPr>
        <w:spacing w:line="480" w:lineRule="auto"/>
        <w:ind w:left="0" w:hanging="284"/>
        <w:jc w:val="both"/>
        <w:rPr>
          <w:rFonts w:ascii="Times New Roman" w:hAnsi="Times New Roman" w:cs="Times New Roman"/>
          <w:sz w:val="24"/>
          <w:szCs w:val="24"/>
        </w:rPr>
      </w:pPr>
      <w:r w:rsidRPr="00164C5A">
        <w:rPr>
          <w:rFonts w:ascii="Times New Roman" w:hAnsi="Times New Roman" w:cs="Times New Roman"/>
          <w:sz w:val="24"/>
          <w:szCs w:val="24"/>
        </w:rPr>
        <w:t>Asas Hak Tanggungan</w:t>
      </w:r>
    </w:p>
    <w:p w:rsidR="00AA6F3E" w:rsidRPr="00BD4830" w:rsidRDefault="00AA6F3E" w:rsidP="00AA6F3E">
      <w:pPr>
        <w:pStyle w:val="ListParagraph"/>
        <w:spacing w:line="48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Berlakunya hak tanggungan sebagai lembaga jaminan atas tanah dilandaskan kepada beberapa asas. Asas-asas hak tanggungan tersebut diatur di berbagai pasal Undang-Undang Nomor 4 Tahun 1996 tentang Hak Tanggungan atas Tanah Beserta Benda-Benda yang Berkaitan dengan Tanah (UUHT). </w:t>
      </w:r>
    </w:p>
    <w:p w:rsidR="00AA6F3E" w:rsidRPr="00BD4830" w:rsidRDefault="00AA6F3E" w:rsidP="00AA6F3E">
      <w:pPr>
        <w:pStyle w:val="ListParagraph"/>
        <w:numPr>
          <w:ilvl w:val="0"/>
          <w:numId w:val="6"/>
        </w:numPr>
        <w:spacing w:line="480" w:lineRule="auto"/>
        <w:ind w:left="0" w:hanging="283"/>
        <w:jc w:val="both"/>
        <w:rPr>
          <w:rFonts w:ascii="Times New Roman" w:hAnsi="Times New Roman" w:cs="Times New Roman"/>
          <w:sz w:val="24"/>
          <w:szCs w:val="24"/>
        </w:rPr>
      </w:pPr>
      <w:r w:rsidRPr="00BD4830">
        <w:rPr>
          <w:rFonts w:ascii="Times New Roman" w:hAnsi="Times New Roman" w:cs="Times New Roman"/>
          <w:sz w:val="24"/>
          <w:szCs w:val="24"/>
        </w:rPr>
        <w:t>Hak Tan</w:t>
      </w:r>
      <w:r>
        <w:rPr>
          <w:rFonts w:ascii="Times New Roman" w:hAnsi="Times New Roman" w:cs="Times New Roman"/>
          <w:sz w:val="24"/>
          <w:szCs w:val="24"/>
        </w:rPr>
        <w:t>ggungan memberikan hak preferen</w:t>
      </w:r>
      <w:r w:rsidRPr="00BD4830">
        <w:rPr>
          <w:rFonts w:ascii="Times New Roman" w:hAnsi="Times New Roman" w:cs="Times New Roman"/>
          <w:sz w:val="24"/>
          <w:szCs w:val="24"/>
        </w:rPr>
        <w:t xml:space="preserve"> (</w:t>
      </w:r>
      <w:r w:rsidRPr="00BD4830">
        <w:rPr>
          <w:rFonts w:ascii="Times New Roman" w:hAnsi="Times New Roman" w:cs="Times New Roman"/>
          <w:i/>
          <w:sz w:val="24"/>
          <w:szCs w:val="24"/>
        </w:rPr>
        <w:t>droit de preference</w:t>
      </w:r>
      <w:r w:rsidRPr="00BD4830">
        <w:rPr>
          <w:rFonts w:ascii="Times New Roman" w:hAnsi="Times New Roman" w:cs="Times New Roman"/>
          <w:sz w:val="24"/>
          <w:szCs w:val="24"/>
        </w:rPr>
        <w:t>) atau kedudukan yang diutamakan kepada kreditur tertentu te</w:t>
      </w:r>
      <w:r>
        <w:rPr>
          <w:rFonts w:ascii="Times New Roman" w:hAnsi="Times New Roman" w:cs="Times New Roman"/>
          <w:sz w:val="24"/>
          <w:szCs w:val="24"/>
        </w:rPr>
        <w:t>rhadap kreditur-kreditur lain (pasal 1 ayat 1</w:t>
      </w:r>
      <w:r w:rsidRPr="00BD4830">
        <w:rPr>
          <w:rFonts w:ascii="Times New Roman" w:hAnsi="Times New Roman" w:cs="Times New Roman"/>
          <w:sz w:val="24"/>
          <w:szCs w:val="24"/>
        </w:rPr>
        <w:t xml:space="preserve">). Artinya apabila debitur cidera janji atau lalai membayar hutangnya, maka seorang kreditur pemegang </w:t>
      </w:r>
      <w:r>
        <w:rPr>
          <w:rFonts w:ascii="Times New Roman" w:hAnsi="Times New Roman" w:cs="Times New Roman"/>
          <w:sz w:val="24"/>
          <w:szCs w:val="24"/>
        </w:rPr>
        <w:t>h</w:t>
      </w:r>
      <w:r w:rsidRPr="00BD4830">
        <w:rPr>
          <w:rFonts w:ascii="Times New Roman" w:hAnsi="Times New Roman" w:cs="Times New Roman"/>
          <w:sz w:val="24"/>
          <w:szCs w:val="24"/>
        </w:rPr>
        <w:t xml:space="preserve">ak </w:t>
      </w:r>
      <w:r>
        <w:rPr>
          <w:rFonts w:ascii="Times New Roman" w:hAnsi="Times New Roman" w:cs="Times New Roman"/>
          <w:sz w:val="24"/>
          <w:szCs w:val="24"/>
        </w:rPr>
        <w:t>t</w:t>
      </w:r>
      <w:r w:rsidRPr="00BD4830">
        <w:rPr>
          <w:rFonts w:ascii="Times New Roman" w:hAnsi="Times New Roman" w:cs="Times New Roman"/>
          <w:sz w:val="24"/>
          <w:szCs w:val="24"/>
        </w:rPr>
        <w:t>anggungan mempunyai hak untuk menjual jaminan dan kreditur pemegang jaminan diutamakan untuk mendapatkan pelunasan hutang dari hasil penjualan jaminan tersebut.</w:t>
      </w:r>
    </w:p>
    <w:p w:rsidR="00AA6F3E" w:rsidRPr="00BD4830" w:rsidRDefault="00AA6F3E" w:rsidP="00AA6F3E">
      <w:pPr>
        <w:pStyle w:val="ListParagraph"/>
        <w:numPr>
          <w:ilvl w:val="0"/>
          <w:numId w:val="6"/>
        </w:numPr>
        <w:spacing w:line="480" w:lineRule="auto"/>
        <w:ind w:left="0" w:hanging="283"/>
        <w:jc w:val="both"/>
        <w:rPr>
          <w:rFonts w:ascii="Times New Roman" w:hAnsi="Times New Roman" w:cs="Times New Roman"/>
          <w:sz w:val="24"/>
          <w:szCs w:val="24"/>
        </w:rPr>
      </w:pPr>
      <w:r w:rsidRPr="00BD4830">
        <w:rPr>
          <w:rFonts w:ascii="Times New Roman" w:hAnsi="Times New Roman" w:cs="Times New Roman"/>
          <w:sz w:val="24"/>
          <w:szCs w:val="24"/>
        </w:rPr>
        <w:t xml:space="preserve">Hak Tanggungan tidak dapat dibagi-bagi atau </w:t>
      </w:r>
      <w:r w:rsidRPr="00BD4830">
        <w:rPr>
          <w:rFonts w:ascii="Times New Roman" w:hAnsi="Times New Roman" w:cs="Times New Roman"/>
          <w:i/>
          <w:sz w:val="24"/>
          <w:szCs w:val="24"/>
        </w:rPr>
        <w:t>ondeelbaarheid</w:t>
      </w:r>
      <w:r w:rsidRPr="00BD4830">
        <w:rPr>
          <w:rFonts w:ascii="Times New Roman" w:hAnsi="Times New Roman" w:cs="Times New Roman"/>
          <w:sz w:val="24"/>
          <w:szCs w:val="24"/>
        </w:rPr>
        <w:t xml:space="preserve"> (pasal </w:t>
      </w:r>
      <w:r>
        <w:rPr>
          <w:rFonts w:ascii="Times New Roman" w:hAnsi="Times New Roman" w:cs="Times New Roman"/>
          <w:sz w:val="24"/>
          <w:szCs w:val="24"/>
        </w:rPr>
        <w:t>2).</w:t>
      </w:r>
      <w:r w:rsidRPr="00BD4830">
        <w:rPr>
          <w:rFonts w:ascii="Times New Roman" w:hAnsi="Times New Roman" w:cs="Times New Roman"/>
          <w:sz w:val="24"/>
          <w:szCs w:val="24"/>
        </w:rPr>
        <w:t xml:space="preserve"> Artinya </w:t>
      </w:r>
      <w:r>
        <w:rPr>
          <w:rFonts w:ascii="Times New Roman" w:hAnsi="Times New Roman" w:cs="Times New Roman"/>
          <w:sz w:val="24"/>
          <w:szCs w:val="24"/>
        </w:rPr>
        <w:t>h</w:t>
      </w:r>
      <w:r w:rsidRPr="00BD4830">
        <w:rPr>
          <w:rFonts w:ascii="Times New Roman" w:hAnsi="Times New Roman" w:cs="Times New Roman"/>
          <w:sz w:val="24"/>
          <w:szCs w:val="24"/>
        </w:rPr>
        <w:t xml:space="preserve">ak </w:t>
      </w:r>
      <w:r>
        <w:rPr>
          <w:rFonts w:ascii="Times New Roman" w:hAnsi="Times New Roman" w:cs="Times New Roman"/>
          <w:sz w:val="24"/>
          <w:szCs w:val="24"/>
        </w:rPr>
        <w:t>t</w:t>
      </w:r>
      <w:r w:rsidRPr="00BD4830">
        <w:rPr>
          <w:rFonts w:ascii="Times New Roman" w:hAnsi="Times New Roman" w:cs="Times New Roman"/>
          <w:sz w:val="24"/>
          <w:szCs w:val="24"/>
        </w:rPr>
        <w:t>anggungan membeba</w:t>
      </w:r>
      <w:r>
        <w:rPr>
          <w:rFonts w:ascii="Times New Roman" w:hAnsi="Times New Roman" w:cs="Times New Roman"/>
          <w:sz w:val="24"/>
          <w:szCs w:val="24"/>
        </w:rPr>
        <w:t>ni secara utuh obj</w:t>
      </w:r>
      <w:r w:rsidRPr="00BD4830">
        <w:rPr>
          <w:rFonts w:ascii="Times New Roman" w:hAnsi="Times New Roman" w:cs="Times New Roman"/>
          <w:sz w:val="24"/>
          <w:szCs w:val="24"/>
        </w:rPr>
        <w:t xml:space="preserve">ek </w:t>
      </w:r>
      <w:r>
        <w:rPr>
          <w:rFonts w:ascii="Times New Roman" w:hAnsi="Times New Roman" w:cs="Times New Roman"/>
          <w:sz w:val="24"/>
          <w:szCs w:val="24"/>
        </w:rPr>
        <w:t>h</w:t>
      </w:r>
      <w:r w:rsidRPr="00BD4830">
        <w:rPr>
          <w:rFonts w:ascii="Times New Roman" w:hAnsi="Times New Roman" w:cs="Times New Roman"/>
          <w:sz w:val="24"/>
          <w:szCs w:val="24"/>
        </w:rPr>
        <w:t xml:space="preserve">ak </w:t>
      </w:r>
      <w:r>
        <w:rPr>
          <w:rFonts w:ascii="Times New Roman" w:hAnsi="Times New Roman" w:cs="Times New Roman"/>
          <w:sz w:val="24"/>
          <w:szCs w:val="24"/>
        </w:rPr>
        <w:t>t</w:t>
      </w:r>
      <w:r w:rsidRPr="00BD4830">
        <w:rPr>
          <w:rFonts w:ascii="Times New Roman" w:hAnsi="Times New Roman" w:cs="Times New Roman"/>
          <w:sz w:val="24"/>
          <w:szCs w:val="24"/>
        </w:rPr>
        <w:t>anggungan  dan setiap bagian dari padanya. Pelunasan sebagian dari hutang yang dijamin  tidak b</w:t>
      </w:r>
      <w:r>
        <w:rPr>
          <w:rFonts w:ascii="Times New Roman" w:hAnsi="Times New Roman" w:cs="Times New Roman"/>
          <w:sz w:val="24"/>
          <w:szCs w:val="24"/>
        </w:rPr>
        <w:t>erarti terbebasnya  sebagian obj</w:t>
      </w:r>
      <w:r w:rsidRPr="00BD4830">
        <w:rPr>
          <w:rFonts w:ascii="Times New Roman" w:hAnsi="Times New Roman" w:cs="Times New Roman"/>
          <w:sz w:val="24"/>
          <w:szCs w:val="24"/>
        </w:rPr>
        <w:t xml:space="preserve">ek </w:t>
      </w:r>
      <w:r>
        <w:rPr>
          <w:rFonts w:ascii="Times New Roman" w:hAnsi="Times New Roman" w:cs="Times New Roman"/>
          <w:sz w:val="24"/>
          <w:szCs w:val="24"/>
        </w:rPr>
        <w:t>h</w:t>
      </w:r>
      <w:r w:rsidRPr="00BD4830">
        <w:rPr>
          <w:rFonts w:ascii="Times New Roman" w:hAnsi="Times New Roman" w:cs="Times New Roman"/>
          <w:sz w:val="24"/>
          <w:szCs w:val="24"/>
        </w:rPr>
        <w:t xml:space="preserve">ak </w:t>
      </w:r>
      <w:r>
        <w:rPr>
          <w:rFonts w:ascii="Times New Roman" w:hAnsi="Times New Roman" w:cs="Times New Roman"/>
          <w:sz w:val="24"/>
          <w:szCs w:val="24"/>
        </w:rPr>
        <w:t>t</w:t>
      </w:r>
      <w:r w:rsidRPr="00BD4830">
        <w:rPr>
          <w:rFonts w:ascii="Times New Roman" w:hAnsi="Times New Roman" w:cs="Times New Roman"/>
          <w:sz w:val="24"/>
          <w:szCs w:val="24"/>
        </w:rPr>
        <w:t xml:space="preserve">anggungan dari beban </w:t>
      </w:r>
      <w:r>
        <w:rPr>
          <w:rFonts w:ascii="Times New Roman" w:hAnsi="Times New Roman" w:cs="Times New Roman"/>
          <w:sz w:val="24"/>
          <w:szCs w:val="24"/>
        </w:rPr>
        <w:t>h</w:t>
      </w:r>
      <w:r w:rsidRPr="00BD4830">
        <w:rPr>
          <w:rFonts w:ascii="Times New Roman" w:hAnsi="Times New Roman" w:cs="Times New Roman"/>
          <w:sz w:val="24"/>
          <w:szCs w:val="24"/>
        </w:rPr>
        <w:t xml:space="preserve">ak </w:t>
      </w:r>
      <w:r>
        <w:rPr>
          <w:rFonts w:ascii="Times New Roman" w:hAnsi="Times New Roman" w:cs="Times New Roman"/>
          <w:sz w:val="24"/>
          <w:szCs w:val="24"/>
        </w:rPr>
        <w:t>t</w:t>
      </w:r>
      <w:r w:rsidRPr="00BD4830">
        <w:rPr>
          <w:rFonts w:ascii="Times New Roman" w:hAnsi="Times New Roman" w:cs="Times New Roman"/>
          <w:sz w:val="24"/>
          <w:szCs w:val="24"/>
        </w:rPr>
        <w:t xml:space="preserve">anggungan melainkan </w:t>
      </w:r>
      <w:r>
        <w:rPr>
          <w:rFonts w:ascii="Times New Roman" w:hAnsi="Times New Roman" w:cs="Times New Roman"/>
          <w:sz w:val="24"/>
          <w:szCs w:val="24"/>
        </w:rPr>
        <w:t>h</w:t>
      </w:r>
      <w:r w:rsidRPr="00BD4830">
        <w:rPr>
          <w:rFonts w:ascii="Times New Roman" w:hAnsi="Times New Roman" w:cs="Times New Roman"/>
          <w:sz w:val="24"/>
          <w:szCs w:val="24"/>
        </w:rPr>
        <w:t xml:space="preserve">ak </w:t>
      </w:r>
      <w:r>
        <w:rPr>
          <w:rFonts w:ascii="Times New Roman" w:hAnsi="Times New Roman" w:cs="Times New Roman"/>
          <w:sz w:val="24"/>
          <w:szCs w:val="24"/>
        </w:rPr>
        <w:t>t</w:t>
      </w:r>
      <w:r w:rsidRPr="00BD4830">
        <w:rPr>
          <w:rFonts w:ascii="Times New Roman" w:hAnsi="Times New Roman" w:cs="Times New Roman"/>
          <w:sz w:val="24"/>
          <w:szCs w:val="24"/>
        </w:rPr>
        <w:t>anggungan</w:t>
      </w:r>
      <w:r>
        <w:rPr>
          <w:rFonts w:ascii="Times New Roman" w:hAnsi="Times New Roman" w:cs="Times New Roman"/>
          <w:sz w:val="24"/>
          <w:szCs w:val="24"/>
        </w:rPr>
        <w:t xml:space="preserve"> itu tetap membebani seluruh obj</w:t>
      </w:r>
      <w:r w:rsidRPr="00BD4830">
        <w:rPr>
          <w:rFonts w:ascii="Times New Roman" w:hAnsi="Times New Roman" w:cs="Times New Roman"/>
          <w:sz w:val="24"/>
          <w:szCs w:val="24"/>
        </w:rPr>
        <w:t xml:space="preserve">ek </w:t>
      </w:r>
      <w:r>
        <w:rPr>
          <w:rFonts w:ascii="Times New Roman" w:hAnsi="Times New Roman" w:cs="Times New Roman"/>
          <w:sz w:val="24"/>
          <w:szCs w:val="24"/>
        </w:rPr>
        <w:t>h</w:t>
      </w:r>
      <w:r w:rsidRPr="00BD4830">
        <w:rPr>
          <w:rFonts w:ascii="Times New Roman" w:hAnsi="Times New Roman" w:cs="Times New Roman"/>
          <w:sz w:val="24"/>
          <w:szCs w:val="24"/>
        </w:rPr>
        <w:t xml:space="preserve">ak </w:t>
      </w:r>
      <w:r>
        <w:rPr>
          <w:rFonts w:ascii="Times New Roman" w:hAnsi="Times New Roman" w:cs="Times New Roman"/>
          <w:sz w:val="24"/>
          <w:szCs w:val="24"/>
        </w:rPr>
        <w:t>t</w:t>
      </w:r>
      <w:r w:rsidRPr="00BD4830">
        <w:rPr>
          <w:rFonts w:ascii="Times New Roman" w:hAnsi="Times New Roman" w:cs="Times New Roman"/>
          <w:sz w:val="24"/>
          <w:szCs w:val="24"/>
        </w:rPr>
        <w:t xml:space="preserve">anggungan  untuk sisa utang yang belum dilunasi. </w:t>
      </w:r>
    </w:p>
    <w:p w:rsidR="00AA6F3E" w:rsidRPr="00BD4830" w:rsidRDefault="00AA6F3E" w:rsidP="00AA6F3E">
      <w:pPr>
        <w:pStyle w:val="ListParagraph"/>
        <w:numPr>
          <w:ilvl w:val="0"/>
          <w:numId w:val="6"/>
        </w:numPr>
        <w:spacing w:line="480" w:lineRule="auto"/>
        <w:ind w:left="0" w:hanging="283"/>
        <w:jc w:val="both"/>
        <w:rPr>
          <w:rFonts w:ascii="Times New Roman" w:hAnsi="Times New Roman" w:cs="Times New Roman"/>
          <w:sz w:val="24"/>
          <w:szCs w:val="24"/>
        </w:rPr>
      </w:pPr>
      <w:r w:rsidRPr="00BD4830">
        <w:rPr>
          <w:rFonts w:ascii="Times New Roman" w:hAnsi="Times New Roman" w:cs="Times New Roman"/>
          <w:sz w:val="24"/>
          <w:szCs w:val="24"/>
        </w:rPr>
        <w:t xml:space="preserve">Hak Tanggungan memiliki </w:t>
      </w:r>
      <w:r w:rsidRPr="00BD4830">
        <w:rPr>
          <w:rFonts w:ascii="Times New Roman" w:hAnsi="Times New Roman" w:cs="Times New Roman"/>
          <w:i/>
          <w:sz w:val="24"/>
          <w:szCs w:val="24"/>
        </w:rPr>
        <w:t>sifat droit de suit</w:t>
      </w:r>
      <w:r w:rsidRPr="00BD4830">
        <w:rPr>
          <w:rFonts w:ascii="Times New Roman" w:hAnsi="Times New Roman" w:cs="Times New Roman"/>
          <w:sz w:val="24"/>
          <w:szCs w:val="24"/>
        </w:rPr>
        <w:t xml:space="preserve"> (pasal 7 ). Sifat </w:t>
      </w:r>
      <w:r w:rsidRPr="00BD4830">
        <w:rPr>
          <w:rFonts w:ascii="Times New Roman" w:hAnsi="Times New Roman" w:cs="Times New Roman"/>
          <w:i/>
          <w:sz w:val="24"/>
          <w:szCs w:val="24"/>
        </w:rPr>
        <w:t>droit de suit</w:t>
      </w:r>
      <w:r w:rsidRPr="00BD4830">
        <w:rPr>
          <w:rFonts w:ascii="Times New Roman" w:hAnsi="Times New Roman" w:cs="Times New Roman"/>
          <w:sz w:val="24"/>
          <w:szCs w:val="24"/>
        </w:rPr>
        <w:t xml:space="preserve"> disebut juga </w:t>
      </w:r>
      <w:r w:rsidRPr="00BD4830">
        <w:rPr>
          <w:rFonts w:ascii="Times New Roman" w:hAnsi="Times New Roman" w:cs="Times New Roman"/>
          <w:i/>
          <w:sz w:val="24"/>
          <w:szCs w:val="24"/>
        </w:rPr>
        <w:t>zaaksgevolg</w:t>
      </w:r>
      <w:r w:rsidRPr="00BD4830">
        <w:rPr>
          <w:rFonts w:ascii="Times New Roman" w:hAnsi="Times New Roman" w:cs="Times New Roman"/>
          <w:sz w:val="24"/>
          <w:szCs w:val="24"/>
        </w:rPr>
        <w:t xml:space="preserve">, artinya pemegang </w:t>
      </w:r>
      <w:r>
        <w:rPr>
          <w:rFonts w:ascii="Times New Roman" w:hAnsi="Times New Roman" w:cs="Times New Roman"/>
          <w:sz w:val="24"/>
          <w:szCs w:val="24"/>
        </w:rPr>
        <w:t>h</w:t>
      </w:r>
      <w:r w:rsidRPr="00BD4830">
        <w:rPr>
          <w:rFonts w:ascii="Times New Roman" w:hAnsi="Times New Roman" w:cs="Times New Roman"/>
          <w:sz w:val="24"/>
          <w:szCs w:val="24"/>
        </w:rPr>
        <w:t xml:space="preserve">ak </w:t>
      </w:r>
      <w:r>
        <w:rPr>
          <w:rFonts w:ascii="Times New Roman" w:hAnsi="Times New Roman" w:cs="Times New Roman"/>
          <w:sz w:val="24"/>
          <w:szCs w:val="24"/>
        </w:rPr>
        <w:t>t</w:t>
      </w:r>
      <w:r w:rsidRPr="00BD4830">
        <w:rPr>
          <w:rFonts w:ascii="Times New Roman" w:hAnsi="Times New Roman" w:cs="Times New Roman"/>
          <w:sz w:val="24"/>
          <w:szCs w:val="24"/>
        </w:rPr>
        <w:t xml:space="preserve">anggungan memiliki hak mengikuti </w:t>
      </w:r>
      <w:r w:rsidRPr="00BD4830">
        <w:rPr>
          <w:rFonts w:ascii="Times New Roman" w:hAnsi="Times New Roman" w:cs="Times New Roman"/>
          <w:sz w:val="24"/>
          <w:szCs w:val="24"/>
        </w:rPr>
        <w:lastRenderedPageBreak/>
        <w:t>ob</w:t>
      </w:r>
      <w:r>
        <w:rPr>
          <w:rFonts w:ascii="Times New Roman" w:hAnsi="Times New Roman" w:cs="Times New Roman"/>
          <w:sz w:val="24"/>
          <w:szCs w:val="24"/>
        </w:rPr>
        <w:t>jek hak tanggungan meskipun obj</w:t>
      </w:r>
      <w:r w:rsidRPr="00BD4830">
        <w:rPr>
          <w:rFonts w:ascii="Times New Roman" w:hAnsi="Times New Roman" w:cs="Times New Roman"/>
          <w:sz w:val="24"/>
          <w:szCs w:val="24"/>
        </w:rPr>
        <w:t xml:space="preserve">ek </w:t>
      </w:r>
      <w:r>
        <w:rPr>
          <w:rFonts w:ascii="Times New Roman" w:hAnsi="Times New Roman" w:cs="Times New Roman"/>
          <w:sz w:val="24"/>
          <w:szCs w:val="24"/>
        </w:rPr>
        <w:t>h</w:t>
      </w:r>
      <w:r w:rsidRPr="00BD4830">
        <w:rPr>
          <w:rFonts w:ascii="Times New Roman" w:hAnsi="Times New Roman" w:cs="Times New Roman"/>
          <w:sz w:val="24"/>
          <w:szCs w:val="24"/>
        </w:rPr>
        <w:t xml:space="preserve">ak </w:t>
      </w:r>
      <w:r>
        <w:rPr>
          <w:rFonts w:ascii="Times New Roman" w:hAnsi="Times New Roman" w:cs="Times New Roman"/>
          <w:sz w:val="24"/>
          <w:szCs w:val="24"/>
        </w:rPr>
        <w:t>t</w:t>
      </w:r>
      <w:r w:rsidRPr="00BD4830">
        <w:rPr>
          <w:rFonts w:ascii="Times New Roman" w:hAnsi="Times New Roman" w:cs="Times New Roman"/>
          <w:sz w:val="24"/>
          <w:szCs w:val="24"/>
        </w:rPr>
        <w:t>anggungan telah berpindah dan menjadi milik pihak lain.</w:t>
      </w:r>
    </w:p>
    <w:p w:rsidR="00AA6F3E" w:rsidRDefault="00AA6F3E" w:rsidP="00AA6F3E">
      <w:pPr>
        <w:pStyle w:val="ListParagraph"/>
        <w:numPr>
          <w:ilvl w:val="0"/>
          <w:numId w:val="6"/>
        </w:numPr>
        <w:spacing w:line="480" w:lineRule="auto"/>
        <w:ind w:left="0" w:hanging="283"/>
        <w:jc w:val="both"/>
        <w:rPr>
          <w:rFonts w:ascii="Times New Roman" w:hAnsi="Times New Roman" w:cs="Times New Roman"/>
          <w:sz w:val="24"/>
          <w:szCs w:val="24"/>
        </w:rPr>
      </w:pPr>
      <w:r w:rsidRPr="00D25E18">
        <w:rPr>
          <w:rFonts w:ascii="Times New Roman" w:hAnsi="Times New Roman" w:cs="Times New Roman"/>
          <w:sz w:val="24"/>
          <w:szCs w:val="24"/>
        </w:rPr>
        <w:t xml:space="preserve">Hak </w:t>
      </w:r>
      <w:r>
        <w:rPr>
          <w:rFonts w:ascii="Times New Roman" w:hAnsi="Times New Roman" w:cs="Times New Roman"/>
          <w:sz w:val="24"/>
          <w:szCs w:val="24"/>
        </w:rPr>
        <w:t>t</w:t>
      </w:r>
      <w:r w:rsidRPr="00D25E18">
        <w:rPr>
          <w:rFonts w:ascii="Times New Roman" w:hAnsi="Times New Roman" w:cs="Times New Roman"/>
          <w:sz w:val="24"/>
          <w:szCs w:val="24"/>
        </w:rPr>
        <w:t xml:space="preserve">anggungan memiliki sifat </w:t>
      </w:r>
      <w:r w:rsidRPr="00D25E18">
        <w:rPr>
          <w:rFonts w:ascii="Times New Roman" w:hAnsi="Times New Roman" w:cs="Times New Roman"/>
          <w:i/>
          <w:sz w:val="24"/>
          <w:szCs w:val="24"/>
        </w:rPr>
        <w:t>accesoir</w:t>
      </w:r>
      <w:r w:rsidRPr="00D25E18">
        <w:rPr>
          <w:rFonts w:ascii="Times New Roman" w:hAnsi="Times New Roman" w:cs="Times New Roman"/>
          <w:sz w:val="24"/>
          <w:szCs w:val="24"/>
        </w:rPr>
        <w:t xml:space="preserve">. Seperti perjanjian jaminan lainnya, </w:t>
      </w:r>
      <w:r>
        <w:rPr>
          <w:rFonts w:ascii="Times New Roman" w:hAnsi="Times New Roman" w:cs="Times New Roman"/>
          <w:sz w:val="24"/>
          <w:szCs w:val="24"/>
        </w:rPr>
        <w:t>h</w:t>
      </w:r>
      <w:r w:rsidRPr="00D25E18">
        <w:rPr>
          <w:rFonts w:ascii="Times New Roman" w:hAnsi="Times New Roman" w:cs="Times New Roman"/>
          <w:sz w:val="24"/>
          <w:szCs w:val="24"/>
        </w:rPr>
        <w:t xml:space="preserve">ak </w:t>
      </w:r>
      <w:r>
        <w:rPr>
          <w:rFonts w:ascii="Times New Roman" w:hAnsi="Times New Roman" w:cs="Times New Roman"/>
          <w:sz w:val="24"/>
          <w:szCs w:val="24"/>
        </w:rPr>
        <w:t>t</w:t>
      </w:r>
      <w:r w:rsidRPr="00D25E18">
        <w:rPr>
          <w:rFonts w:ascii="Times New Roman" w:hAnsi="Times New Roman" w:cs="Times New Roman"/>
          <w:sz w:val="24"/>
          <w:szCs w:val="24"/>
        </w:rPr>
        <w:t xml:space="preserve">anggungan bersifat </w:t>
      </w:r>
      <w:r w:rsidRPr="00D25E18">
        <w:rPr>
          <w:rFonts w:ascii="Times New Roman" w:hAnsi="Times New Roman" w:cs="Times New Roman"/>
          <w:i/>
          <w:sz w:val="24"/>
          <w:szCs w:val="24"/>
        </w:rPr>
        <w:t>accesoir</w:t>
      </w:r>
      <w:r w:rsidRPr="00D25E18">
        <w:rPr>
          <w:rFonts w:ascii="Times New Roman" w:hAnsi="Times New Roman" w:cs="Times New Roman"/>
          <w:sz w:val="24"/>
          <w:szCs w:val="24"/>
        </w:rPr>
        <w:t xml:space="preserve"> artinya </w:t>
      </w:r>
      <w:r>
        <w:rPr>
          <w:rFonts w:ascii="Times New Roman" w:hAnsi="Times New Roman" w:cs="Times New Roman"/>
          <w:sz w:val="24"/>
          <w:szCs w:val="24"/>
        </w:rPr>
        <w:t>h</w:t>
      </w:r>
      <w:r w:rsidRPr="00D25E18">
        <w:rPr>
          <w:rFonts w:ascii="Times New Roman" w:hAnsi="Times New Roman" w:cs="Times New Roman"/>
          <w:sz w:val="24"/>
          <w:szCs w:val="24"/>
        </w:rPr>
        <w:t xml:space="preserve">ak </w:t>
      </w:r>
      <w:r>
        <w:rPr>
          <w:rFonts w:ascii="Times New Roman" w:hAnsi="Times New Roman" w:cs="Times New Roman"/>
          <w:sz w:val="24"/>
          <w:szCs w:val="24"/>
        </w:rPr>
        <w:t>t</w:t>
      </w:r>
      <w:r w:rsidRPr="00D25E18">
        <w:rPr>
          <w:rFonts w:ascii="Times New Roman" w:hAnsi="Times New Roman" w:cs="Times New Roman"/>
          <w:sz w:val="24"/>
          <w:szCs w:val="24"/>
        </w:rPr>
        <w:t xml:space="preserve">anggungan bukanlah  hak yang berdiri sendiri tetapi lahirnya, keberadaannya atau eksistensinya  atau hapusnya tergantung perjanjian pokoknya yaitu perjanjian kredit atau perjanjian utang lainnya. </w:t>
      </w:r>
    </w:p>
    <w:p w:rsidR="00AA6F3E" w:rsidRPr="00D25E18" w:rsidRDefault="00AA6F3E" w:rsidP="00AA6F3E">
      <w:pPr>
        <w:pStyle w:val="ListParagraph"/>
        <w:numPr>
          <w:ilvl w:val="0"/>
          <w:numId w:val="6"/>
        </w:numPr>
        <w:spacing w:line="480" w:lineRule="auto"/>
        <w:ind w:left="0" w:hanging="283"/>
        <w:jc w:val="both"/>
        <w:rPr>
          <w:rFonts w:ascii="Times New Roman" w:hAnsi="Times New Roman" w:cs="Times New Roman"/>
          <w:sz w:val="24"/>
          <w:szCs w:val="24"/>
        </w:rPr>
      </w:pPr>
      <w:r w:rsidRPr="00D25E18">
        <w:rPr>
          <w:rFonts w:ascii="Times New Roman" w:hAnsi="Times New Roman" w:cs="Times New Roman"/>
          <w:sz w:val="24"/>
          <w:szCs w:val="24"/>
        </w:rPr>
        <w:t xml:space="preserve">Hak </w:t>
      </w:r>
      <w:r>
        <w:rPr>
          <w:rFonts w:ascii="Times New Roman" w:hAnsi="Times New Roman" w:cs="Times New Roman"/>
          <w:sz w:val="24"/>
          <w:szCs w:val="24"/>
        </w:rPr>
        <w:t>t</w:t>
      </w:r>
      <w:r w:rsidRPr="00D25E18">
        <w:rPr>
          <w:rFonts w:ascii="Times New Roman" w:hAnsi="Times New Roman" w:cs="Times New Roman"/>
          <w:sz w:val="24"/>
          <w:szCs w:val="24"/>
        </w:rPr>
        <w:t xml:space="preserve">anggungan untuk menjamin utang yang telah ada atau akan ada. Fungsi </w:t>
      </w:r>
      <w:r>
        <w:rPr>
          <w:rFonts w:ascii="Times New Roman" w:hAnsi="Times New Roman" w:cs="Times New Roman"/>
          <w:sz w:val="24"/>
          <w:szCs w:val="24"/>
        </w:rPr>
        <w:t>h</w:t>
      </w:r>
      <w:r w:rsidRPr="00D25E18">
        <w:rPr>
          <w:rFonts w:ascii="Times New Roman" w:hAnsi="Times New Roman" w:cs="Times New Roman"/>
          <w:sz w:val="24"/>
          <w:szCs w:val="24"/>
        </w:rPr>
        <w:t xml:space="preserve">ak </w:t>
      </w:r>
      <w:r>
        <w:rPr>
          <w:rFonts w:ascii="Times New Roman" w:hAnsi="Times New Roman" w:cs="Times New Roman"/>
          <w:sz w:val="24"/>
          <w:szCs w:val="24"/>
        </w:rPr>
        <w:t>t</w:t>
      </w:r>
      <w:r w:rsidRPr="00D25E18">
        <w:rPr>
          <w:rFonts w:ascii="Times New Roman" w:hAnsi="Times New Roman" w:cs="Times New Roman"/>
          <w:sz w:val="24"/>
          <w:szCs w:val="24"/>
        </w:rPr>
        <w:t>anggungan  adalah untuk menjamin utang yang besarnya diperjanjikan dalam perjanjian kredit  atau perjanjian utang.</w:t>
      </w:r>
      <w:r w:rsidRPr="00BD4830">
        <w:rPr>
          <w:rStyle w:val="FootnoteReference"/>
          <w:rFonts w:ascii="Times New Roman" w:hAnsi="Times New Roman" w:cs="Times New Roman"/>
          <w:sz w:val="24"/>
          <w:szCs w:val="24"/>
        </w:rPr>
        <w:footnoteReference w:id="19"/>
      </w:r>
    </w:p>
    <w:p w:rsidR="00AA6F3E" w:rsidRDefault="00AA6F3E" w:rsidP="00AA6F3E">
      <w:pPr>
        <w:pStyle w:val="ListParagraph"/>
        <w:numPr>
          <w:ilvl w:val="0"/>
          <w:numId w:val="6"/>
        </w:numPr>
        <w:spacing w:line="480" w:lineRule="auto"/>
        <w:ind w:left="0" w:hanging="283"/>
        <w:jc w:val="both"/>
        <w:rPr>
          <w:rFonts w:ascii="Times New Roman" w:hAnsi="Times New Roman" w:cs="Times New Roman"/>
          <w:sz w:val="24"/>
          <w:szCs w:val="24"/>
        </w:rPr>
      </w:pPr>
      <w:r w:rsidRPr="00BD4830">
        <w:rPr>
          <w:rFonts w:ascii="Times New Roman" w:hAnsi="Times New Roman" w:cs="Times New Roman"/>
          <w:sz w:val="24"/>
          <w:szCs w:val="24"/>
        </w:rPr>
        <w:t xml:space="preserve">Hak </w:t>
      </w:r>
      <w:r>
        <w:rPr>
          <w:rFonts w:ascii="Times New Roman" w:hAnsi="Times New Roman" w:cs="Times New Roman"/>
          <w:sz w:val="24"/>
          <w:szCs w:val="24"/>
        </w:rPr>
        <w:t>t</w:t>
      </w:r>
      <w:r w:rsidRPr="00BD4830">
        <w:rPr>
          <w:rFonts w:ascii="Times New Roman" w:hAnsi="Times New Roman" w:cs="Times New Roman"/>
          <w:sz w:val="24"/>
          <w:szCs w:val="24"/>
        </w:rPr>
        <w:t>anggungan dapat menjamin lebih dari satu utang.</w:t>
      </w:r>
    </w:p>
    <w:p w:rsidR="00AA6F3E" w:rsidRDefault="00AA6F3E" w:rsidP="00AA6F3E">
      <w:pPr>
        <w:pStyle w:val="ListParagraph"/>
        <w:spacing w:line="480" w:lineRule="auto"/>
        <w:ind w:left="0"/>
        <w:jc w:val="both"/>
        <w:rPr>
          <w:rFonts w:ascii="Times New Roman" w:hAnsi="Times New Roman" w:cs="Times New Roman"/>
          <w:sz w:val="24"/>
          <w:szCs w:val="24"/>
        </w:rPr>
      </w:pPr>
      <w:r w:rsidRPr="00BD4830">
        <w:rPr>
          <w:rFonts w:ascii="Times New Roman" w:hAnsi="Times New Roman" w:cs="Times New Roman"/>
          <w:sz w:val="24"/>
          <w:szCs w:val="24"/>
        </w:rPr>
        <w:t xml:space="preserve">Pasal 3 ayat 2 </w:t>
      </w:r>
      <w:r>
        <w:rPr>
          <w:rFonts w:ascii="Times New Roman" w:hAnsi="Times New Roman" w:cs="Times New Roman"/>
          <w:sz w:val="24"/>
          <w:szCs w:val="24"/>
        </w:rPr>
        <w:t xml:space="preserve">UUHT </w:t>
      </w:r>
      <w:r w:rsidRPr="00BD4830">
        <w:rPr>
          <w:rFonts w:ascii="Times New Roman" w:hAnsi="Times New Roman" w:cs="Times New Roman"/>
          <w:sz w:val="24"/>
          <w:szCs w:val="24"/>
        </w:rPr>
        <w:t xml:space="preserve">menegaskan bahwa </w:t>
      </w:r>
      <w:r>
        <w:rPr>
          <w:rFonts w:ascii="Times New Roman" w:hAnsi="Times New Roman" w:cs="Times New Roman"/>
          <w:sz w:val="24"/>
          <w:szCs w:val="24"/>
        </w:rPr>
        <w:t>h</w:t>
      </w:r>
      <w:r w:rsidRPr="00BD4830">
        <w:rPr>
          <w:rFonts w:ascii="Times New Roman" w:hAnsi="Times New Roman" w:cs="Times New Roman"/>
          <w:sz w:val="24"/>
          <w:szCs w:val="24"/>
        </w:rPr>
        <w:t xml:space="preserve">ak </w:t>
      </w:r>
      <w:r>
        <w:rPr>
          <w:rFonts w:ascii="Times New Roman" w:hAnsi="Times New Roman" w:cs="Times New Roman"/>
          <w:sz w:val="24"/>
          <w:szCs w:val="24"/>
        </w:rPr>
        <w:t>t</w:t>
      </w:r>
      <w:r w:rsidRPr="00BD4830">
        <w:rPr>
          <w:rFonts w:ascii="Times New Roman" w:hAnsi="Times New Roman" w:cs="Times New Roman"/>
          <w:sz w:val="24"/>
          <w:szCs w:val="24"/>
        </w:rPr>
        <w:t>anggungan dapat diberikan  untuk suatu utang yang berasal dari satu hubungan hukum  atau untuk satu atau lebih  yang berasal dari beberapa hubungan hukum.</w:t>
      </w:r>
      <w:r w:rsidRPr="00BD4830">
        <w:rPr>
          <w:rStyle w:val="FootnoteReference"/>
          <w:rFonts w:ascii="Times New Roman" w:hAnsi="Times New Roman" w:cs="Times New Roman"/>
          <w:sz w:val="24"/>
          <w:szCs w:val="24"/>
        </w:rPr>
        <w:footnoteReference w:id="20"/>
      </w:r>
    </w:p>
    <w:p w:rsidR="00AA6F3E" w:rsidRPr="00BD4830" w:rsidRDefault="00AA6F3E" w:rsidP="00AA6F3E">
      <w:pPr>
        <w:pStyle w:val="ListParagraph"/>
        <w:numPr>
          <w:ilvl w:val="0"/>
          <w:numId w:val="6"/>
        </w:numPr>
        <w:spacing w:line="480" w:lineRule="auto"/>
        <w:ind w:left="0" w:hanging="283"/>
        <w:jc w:val="both"/>
        <w:rPr>
          <w:rFonts w:ascii="Times New Roman" w:hAnsi="Times New Roman" w:cs="Times New Roman"/>
          <w:sz w:val="24"/>
          <w:szCs w:val="24"/>
        </w:rPr>
      </w:pPr>
      <w:r w:rsidRPr="00BD4830">
        <w:rPr>
          <w:rFonts w:ascii="Times New Roman" w:hAnsi="Times New Roman" w:cs="Times New Roman"/>
          <w:sz w:val="24"/>
          <w:szCs w:val="24"/>
        </w:rPr>
        <w:t xml:space="preserve">Hak </w:t>
      </w:r>
      <w:r>
        <w:rPr>
          <w:rFonts w:ascii="Times New Roman" w:hAnsi="Times New Roman" w:cs="Times New Roman"/>
          <w:sz w:val="24"/>
          <w:szCs w:val="24"/>
        </w:rPr>
        <w:t>t</w:t>
      </w:r>
      <w:r w:rsidRPr="00BD4830">
        <w:rPr>
          <w:rFonts w:ascii="Times New Roman" w:hAnsi="Times New Roman" w:cs="Times New Roman"/>
          <w:sz w:val="24"/>
          <w:szCs w:val="24"/>
        </w:rPr>
        <w:t xml:space="preserve">anggungan dapat dibebankan pada hak atas tanah saja. Hak atas tanah yang dapat dijadikan jaminan sesuai dengan </w:t>
      </w:r>
      <w:r>
        <w:rPr>
          <w:rFonts w:ascii="Times New Roman" w:hAnsi="Times New Roman" w:cs="Times New Roman"/>
          <w:sz w:val="24"/>
          <w:szCs w:val="24"/>
        </w:rPr>
        <w:t>UUPA</w:t>
      </w:r>
      <w:r w:rsidRPr="00BD4830">
        <w:rPr>
          <w:rFonts w:ascii="Times New Roman" w:hAnsi="Times New Roman" w:cs="Times New Roman"/>
          <w:sz w:val="24"/>
          <w:szCs w:val="24"/>
        </w:rPr>
        <w:t>, yaitu Hak Milik, Hak Guna Bangunan, Hak Guna U</w:t>
      </w:r>
      <w:r>
        <w:rPr>
          <w:rFonts w:ascii="Times New Roman" w:hAnsi="Times New Roman" w:cs="Times New Roman"/>
          <w:sz w:val="24"/>
          <w:szCs w:val="24"/>
        </w:rPr>
        <w:t>saha, dan Hak Pakai atas tanah n</w:t>
      </w:r>
      <w:r w:rsidRPr="00BD4830">
        <w:rPr>
          <w:rFonts w:ascii="Times New Roman" w:hAnsi="Times New Roman" w:cs="Times New Roman"/>
          <w:sz w:val="24"/>
          <w:szCs w:val="24"/>
        </w:rPr>
        <w:t xml:space="preserve">egara yang menurut  </w:t>
      </w:r>
      <w:r>
        <w:rPr>
          <w:rFonts w:ascii="Times New Roman" w:hAnsi="Times New Roman" w:cs="Times New Roman"/>
          <w:sz w:val="24"/>
          <w:szCs w:val="24"/>
        </w:rPr>
        <w:lastRenderedPageBreak/>
        <w:t xml:space="preserve">ketentuan yang berlaku wajib didaftar dan menurut </w:t>
      </w:r>
      <w:r w:rsidRPr="00BD4830">
        <w:rPr>
          <w:rFonts w:ascii="Times New Roman" w:hAnsi="Times New Roman" w:cs="Times New Roman"/>
          <w:sz w:val="24"/>
          <w:szCs w:val="24"/>
        </w:rPr>
        <w:t xml:space="preserve">sifatnya dapat dipindahtangankan (Pasal  4 ayat 1). </w:t>
      </w:r>
    </w:p>
    <w:p w:rsidR="00AA6F3E" w:rsidRPr="00BD4830" w:rsidRDefault="00AA6F3E" w:rsidP="00AA6F3E">
      <w:pPr>
        <w:pStyle w:val="ListParagraph"/>
        <w:numPr>
          <w:ilvl w:val="0"/>
          <w:numId w:val="6"/>
        </w:numPr>
        <w:spacing w:line="480" w:lineRule="auto"/>
        <w:ind w:left="0" w:hanging="283"/>
        <w:jc w:val="both"/>
        <w:rPr>
          <w:rFonts w:ascii="Times New Roman" w:hAnsi="Times New Roman" w:cs="Times New Roman"/>
          <w:sz w:val="24"/>
          <w:szCs w:val="24"/>
        </w:rPr>
      </w:pPr>
      <w:r w:rsidRPr="00BD4830">
        <w:rPr>
          <w:rFonts w:ascii="Times New Roman" w:hAnsi="Times New Roman" w:cs="Times New Roman"/>
          <w:sz w:val="24"/>
          <w:szCs w:val="24"/>
        </w:rPr>
        <w:t xml:space="preserve">Hak </w:t>
      </w:r>
      <w:r>
        <w:rPr>
          <w:rFonts w:ascii="Times New Roman" w:hAnsi="Times New Roman" w:cs="Times New Roman"/>
          <w:sz w:val="24"/>
          <w:szCs w:val="24"/>
        </w:rPr>
        <w:t>t</w:t>
      </w:r>
      <w:r w:rsidRPr="00BD4830">
        <w:rPr>
          <w:rFonts w:ascii="Times New Roman" w:hAnsi="Times New Roman" w:cs="Times New Roman"/>
          <w:sz w:val="24"/>
          <w:szCs w:val="24"/>
        </w:rPr>
        <w:t xml:space="preserve">anggungan dapat dibebankan pada hak atas tanah berikut  benda di atasnya dan di bawah tanah. </w:t>
      </w:r>
    </w:p>
    <w:p w:rsidR="00AA6F3E" w:rsidRDefault="00AA6F3E" w:rsidP="00AA6F3E">
      <w:pPr>
        <w:pStyle w:val="ListParagraph"/>
        <w:numPr>
          <w:ilvl w:val="0"/>
          <w:numId w:val="6"/>
        </w:numPr>
        <w:spacing w:line="480" w:lineRule="auto"/>
        <w:ind w:left="0" w:hanging="283"/>
        <w:jc w:val="both"/>
        <w:rPr>
          <w:rFonts w:ascii="Times New Roman" w:hAnsi="Times New Roman" w:cs="Times New Roman"/>
          <w:sz w:val="24"/>
          <w:szCs w:val="24"/>
        </w:rPr>
      </w:pPr>
      <w:r>
        <w:rPr>
          <w:rFonts w:ascii="Times New Roman" w:hAnsi="Times New Roman" w:cs="Times New Roman"/>
          <w:sz w:val="24"/>
          <w:szCs w:val="24"/>
        </w:rPr>
        <w:t>Hak t</w:t>
      </w:r>
      <w:r w:rsidRPr="008D2994">
        <w:rPr>
          <w:rFonts w:ascii="Times New Roman" w:hAnsi="Times New Roman" w:cs="Times New Roman"/>
          <w:sz w:val="24"/>
          <w:szCs w:val="24"/>
        </w:rPr>
        <w:t xml:space="preserve">anggungan berisi hak  untuk melunasi utang  dari hasil penjualan benda jaminan  dan tidak memberikan  hak bagi kreditur  untuk memiliki benda jaminan. Hak </w:t>
      </w:r>
      <w:r>
        <w:rPr>
          <w:rFonts w:ascii="Times New Roman" w:hAnsi="Times New Roman" w:cs="Times New Roman"/>
          <w:sz w:val="24"/>
          <w:szCs w:val="24"/>
        </w:rPr>
        <w:t>t</w:t>
      </w:r>
      <w:r w:rsidRPr="008D2994">
        <w:rPr>
          <w:rFonts w:ascii="Times New Roman" w:hAnsi="Times New Roman" w:cs="Times New Roman"/>
          <w:sz w:val="24"/>
          <w:szCs w:val="24"/>
        </w:rPr>
        <w:t xml:space="preserve">anggungan memiliki kekuatan eksekutorial. Kreditur pemegang </w:t>
      </w:r>
      <w:r>
        <w:rPr>
          <w:rFonts w:ascii="Times New Roman" w:hAnsi="Times New Roman" w:cs="Times New Roman"/>
          <w:sz w:val="24"/>
          <w:szCs w:val="24"/>
        </w:rPr>
        <w:t>h</w:t>
      </w:r>
      <w:r w:rsidRPr="008D2994">
        <w:rPr>
          <w:rFonts w:ascii="Times New Roman" w:hAnsi="Times New Roman" w:cs="Times New Roman"/>
          <w:sz w:val="24"/>
          <w:szCs w:val="24"/>
        </w:rPr>
        <w:t xml:space="preserve">ak </w:t>
      </w:r>
      <w:r>
        <w:rPr>
          <w:rFonts w:ascii="Times New Roman" w:hAnsi="Times New Roman" w:cs="Times New Roman"/>
          <w:sz w:val="24"/>
          <w:szCs w:val="24"/>
        </w:rPr>
        <w:t>t</w:t>
      </w:r>
      <w:r w:rsidRPr="008D2994">
        <w:rPr>
          <w:rFonts w:ascii="Times New Roman" w:hAnsi="Times New Roman" w:cs="Times New Roman"/>
          <w:sz w:val="24"/>
          <w:szCs w:val="24"/>
        </w:rPr>
        <w:t xml:space="preserve">anggungan pertama mempunyai hak untuk mengeksekusi  benda jaminan jika debitur cidera janji. Dasar hukum untuk mengajukan eksekusi adalah pasal 6 </w:t>
      </w:r>
      <w:r>
        <w:rPr>
          <w:rFonts w:ascii="Times New Roman" w:hAnsi="Times New Roman" w:cs="Times New Roman"/>
          <w:sz w:val="24"/>
          <w:szCs w:val="24"/>
        </w:rPr>
        <w:t xml:space="preserve">UUHT </w:t>
      </w:r>
      <w:r w:rsidRPr="008D2994">
        <w:rPr>
          <w:rFonts w:ascii="Times New Roman" w:hAnsi="Times New Roman" w:cs="Times New Roman"/>
          <w:sz w:val="24"/>
          <w:szCs w:val="24"/>
        </w:rPr>
        <w:t>dan penjelasannya.</w:t>
      </w:r>
      <w:r w:rsidRPr="00BD4830">
        <w:rPr>
          <w:rStyle w:val="FootnoteReference"/>
          <w:rFonts w:ascii="Times New Roman" w:hAnsi="Times New Roman" w:cs="Times New Roman"/>
          <w:sz w:val="24"/>
          <w:szCs w:val="24"/>
        </w:rPr>
        <w:footnoteReference w:id="21"/>
      </w:r>
    </w:p>
    <w:p w:rsidR="00AA6F3E" w:rsidRPr="008D2994" w:rsidRDefault="00AA6F3E" w:rsidP="00AA6F3E">
      <w:pPr>
        <w:pStyle w:val="ListParagraph"/>
        <w:numPr>
          <w:ilvl w:val="0"/>
          <w:numId w:val="6"/>
        </w:numPr>
        <w:spacing w:line="480" w:lineRule="auto"/>
        <w:ind w:left="0" w:hanging="283"/>
        <w:jc w:val="both"/>
        <w:rPr>
          <w:rFonts w:ascii="Times New Roman" w:hAnsi="Times New Roman" w:cs="Times New Roman"/>
          <w:sz w:val="24"/>
          <w:szCs w:val="24"/>
        </w:rPr>
      </w:pPr>
      <w:r w:rsidRPr="008D2994">
        <w:rPr>
          <w:rFonts w:ascii="Times New Roman" w:hAnsi="Times New Roman" w:cs="Times New Roman"/>
          <w:sz w:val="24"/>
          <w:szCs w:val="24"/>
        </w:rPr>
        <w:t xml:space="preserve">Hak </w:t>
      </w:r>
      <w:r>
        <w:rPr>
          <w:rFonts w:ascii="Times New Roman" w:hAnsi="Times New Roman" w:cs="Times New Roman"/>
          <w:sz w:val="24"/>
          <w:szCs w:val="24"/>
        </w:rPr>
        <w:t>t</w:t>
      </w:r>
      <w:r w:rsidRPr="008D2994">
        <w:rPr>
          <w:rFonts w:ascii="Times New Roman" w:hAnsi="Times New Roman" w:cs="Times New Roman"/>
          <w:sz w:val="24"/>
          <w:szCs w:val="24"/>
        </w:rPr>
        <w:t xml:space="preserve">anggungan memiliki sifat </w:t>
      </w:r>
      <w:r w:rsidRPr="008D2994">
        <w:rPr>
          <w:rFonts w:ascii="Times New Roman" w:hAnsi="Times New Roman" w:cs="Times New Roman"/>
          <w:i/>
          <w:sz w:val="24"/>
          <w:szCs w:val="24"/>
        </w:rPr>
        <w:t>spesialitas</w:t>
      </w:r>
      <w:r w:rsidRPr="008D2994">
        <w:rPr>
          <w:rFonts w:ascii="Times New Roman" w:hAnsi="Times New Roman" w:cs="Times New Roman"/>
          <w:sz w:val="24"/>
          <w:szCs w:val="24"/>
        </w:rPr>
        <w:t xml:space="preserve"> dan </w:t>
      </w:r>
      <w:r w:rsidRPr="008D2994">
        <w:rPr>
          <w:rFonts w:ascii="Times New Roman" w:hAnsi="Times New Roman" w:cs="Times New Roman"/>
          <w:i/>
          <w:sz w:val="24"/>
          <w:szCs w:val="24"/>
        </w:rPr>
        <w:t>publisitas</w:t>
      </w:r>
      <w:r w:rsidRPr="008D2994">
        <w:rPr>
          <w:rFonts w:ascii="Times New Roman" w:hAnsi="Times New Roman" w:cs="Times New Roman"/>
          <w:sz w:val="24"/>
          <w:szCs w:val="24"/>
        </w:rPr>
        <w:t xml:space="preserve">. Sifat spesialitas atau disebut pertelaan adalah uraian yang jelas dan terinci mengenai objek </w:t>
      </w:r>
      <w:r>
        <w:rPr>
          <w:rFonts w:ascii="Times New Roman" w:hAnsi="Times New Roman" w:cs="Times New Roman"/>
          <w:sz w:val="24"/>
          <w:szCs w:val="24"/>
        </w:rPr>
        <w:t>h</w:t>
      </w:r>
      <w:r w:rsidRPr="008D2994">
        <w:rPr>
          <w:rFonts w:ascii="Times New Roman" w:hAnsi="Times New Roman" w:cs="Times New Roman"/>
          <w:sz w:val="24"/>
          <w:szCs w:val="24"/>
        </w:rPr>
        <w:t xml:space="preserve">ak </w:t>
      </w:r>
      <w:r>
        <w:rPr>
          <w:rFonts w:ascii="Times New Roman" w:hAnsi="Times New Roman" w:cs="Times New Roman"/>
          <w:sz w:val="24"/>
          <w:szCs w:val="24"/>
        </w:rPr>
        <w:t>t</w:t>
      </w:r>
      <w:r w:rsidRPr="008D2994">
        <w:rPr>
          <w:rFonts w:ascii="Times New Roman" w:hAnsi="Times New Roman" w:cs="Times New Roman"/>
          <w:sz w:val="24"/>
          <w:szCs w:val="24"/>
        </w:rPr>
        <w:t xml:space="preserve">anggungan yang meliputi rincian mengenai sertipikat  hak atas tanah </w:t>
      </w:r>
      <w:r>
        <w:rPr>
          <w:rFonts w:ascii="Times New Roman" w:hAnsi="Times New Roman" w:cs="Times New Roman"/>
          <w:sz w:val="24"/>
          <w:szCs w:val="24"/>
        </w:rPr>
        <w:t>h</w:t>
      </w:r>
      <w:r w:rsidRPr="008D2994">
        <w:rPr>
          <w:rFonts w:ascii="Times New Roman" w:hAnsi="Times New Roman" w:cs="Times New Roman"/>
          <w:sz w:val="24"/>
          <w:szCs w:val="24"/>
        </w:rPr>
        <w:t xml:space="preserve">ak </w:t>
      </w:r>
      <w:r>
        <w:rPr>
          <w:rFonts w:ascii="Times New Roman" w:hAnsi="Times New Roman" w:cs="Times New Roman"/>
          <w:sz w:val="24"/>
          <w:szCs w:val="24"/>
        </w:rPr>
        <w:t>m</w:t>
      </w:r>
      <w:r w:rsidRPr="008D2994">
        <w:rPr>
          <w:rFonts w:ascii="Times New Roman" w:hAnsi="Times New Roman" w:cs="Times New Roman"/>
          <w:sz w:val="24"/>
          <w:szCs w:val="24"/>
        </w:rPr>
        <w:t xml:space="preserve">ilik atau </w:t>
      </w:r>
      <w:r>
        <w:rPr>
          <w:rFonts w:ascii="Times New Roman" w:hAnsi="Times New Roman" w:cs="Times New Roman"/>
          <w:sz w:val="24"/>
          <w:szCs w:val="24"/>
        </w:rPr>
        <w:t>h</w:t>
      </w:r>
      <w:r w:rsidRPr="008D2994">
        <w:rPr>
          <w:rFonts w:ascii="Times New Roman" w:hAnsi="Times New Roman" w:cs="Times New Roman"/>
          <w:sz w:val="24"/>
          <w:szCs w:val="24"/>
        </w:rPr>
        <w:t xml:space="preserve">ak </w:t>
      </w:r>
      <w:r>
        <w:rPr>
          <w:rFonts w:ascii="Times New Roman" w:hAnsi="Times New Roman" w:cs="Times New Roman"/>
          <w:sz w:val="24"/>
          <w:szCs w:val="24"/>
        </w:rPr>
        <w:t>g</w:t>
      </w:r>
      <w:r w:rsidRPr="008D2994">
        <w:rPr>
          <w:rFonts w:ascii="Times New Roman" w:hAnsi="Times New Roman" w:cs="Times New Roman"/>
          <w:sz w:val="24"/>
          <w:szCs w:val="24"/>
        </w:rPr>
        <w:t xml:space="preserve">una </w:t>
      </w:r>
      <w:r>
        <w:rPr>
          <w:rFonts w:ascii="Times New Roman" w:hAnsi="Times New Roman" w:cs="Times New Roman"/>
          <w:sz w:val="24"/>
          <w:szCs w:val="24"/>
        </w:rPr>
        <w:t>b</w:t>
      </w:r>
      <w:r w:rsidRPr="008D2994">
        <w:rPr>
          <w:rFonts w:ascii="Times New Roman" w:hAnsi="Times New Roman" w:cs="Times New Roman"/>
          <w:sz w:val="24"/>
          <w:szCs w:val="24"/>
        </w:rPr>
        <w:t xml:space="preserve">angunan  atau </w:t>
      </w:r>
      <w:r>
        <w:rPr>
          <w:rFonts w:ascii="Times New Roman" w:hAnsi="Times New Roman" w:cs="Times New Roman"/>
          <w:sz w:val="24"/>
          <w:szCs w:val="24"/>
        </w:rPr>
        <w:t>h</w:t>
      </w:r>
      <w:r w:rsidRPr="008D2994">
        <w:rPr>
          <w:rFonts w:ascii="Times New Roman" w:hAnsi="Times New Roman" w:cs="Times New Roman"/>
          <w:sz w:val="24"/>
          <w:szCs w:val="24"/>
        </w:rPr>
        <w:t xml:space="preserve">ak </w:t>
      </w:r>
      <w:r>
        <w:rPr>
          <w:rFonts w:ascii="Times New Roman" w:hAnsi="Times New Roman" w:cs="Times New Roman"/>
          <w:sz w:val="24"/>
          <w:szCs w:val="24"/>
        </w:rPr>
        <w:t>g</w:t>
      </w:r>
      <w:r w:rsidRPr="008D2994">
        <w:rPr>
          <w:rFonts w:ascii="Times New Roman" w:hAnsi="Times New Roman" w:cs="Times New Roman"/>
          <w:sz w:val="24"/>
          <w:szCs w:val="24"/>
        </w:rPr>
        <w:t xml:space="preserve">una </w:t>
      </w:r>
      <w:r>
        <w:rPr>
          <w:rFonts w:ascii="Times New Roman" w:hAnsi="Times New Roman" w:cs="Times New Roman"/>
          <w:sz w:val="24"/>
          <w:szCs w:val="24"/>
        </w:rPr>
        <w:t>u</w:t>
      </w:r>
      <w:r w:rsidRPr="008D2994">
        <w:rPr>
          <w:rFonts w:ascii="Times New Roman" w:hAnsi="Times New Roman" w:cs="Times New Roman"/>
          <w:sz w:val="24"/>
          <w:szCs w:val="24"/>
        </w:rPr>
        <w:t xml:space="preserve">saha, tanggal penerbitannya, tentang luasnya, letaknya dan batas-batasnya dan lain sebagainya. Sifat publisitas adalah Akta Hak Tanggungan harus didaftarkan di Kantor Pertanahan di mana tanah yang dibebani </w:t>
      </w:r>
      <w:r>
        <w:rPr>
          <w:rFonts w:ascii="Times New Roman" w:hAnsi="Times New Roman" w:cs="Times New Roman"/>
          <w:sz w:val="24"/>
          <w:szCs w:val="24"/>
        </w:rPr>
        <w:t>h</w:t>
      </w:r>
      <w:r w:rsidRPr="008D2994">
        <w:rPr>
          <w:rFonts w:ascii="Times New Roman" w:hAnsi="Times New Roman" w:cs="Times New Roman"/>
          <w:sz w:val="24"/>
          <w:szCs w:val="24"/>
        </w:rPr>
        <w:t xml:space="preserve">ak </w:t>
      </w:r>
      <w:r>
        <w:rPr>
          <w:rFonts w:ascii="Times New Roman" w:hAnsi="Times New Roman" w:cs="Times New Roman"/>
          <w:sz w:val="24"/>
          <w:szCs w:val="24"/>
        </w:rPr>
        <w:t>t</w:t>
      </w:r>
      <w:r w:rsidRPr="008D2994">
        <w:rPr>
          <w:rFonts w:ascii="Times New Roman" w:hAnsi="Times New Roman" w:cs="Times New Roman"/>
          <w:sz w:val="24"/>
          <w:szCs w:val="24"/>
        </w:rPr>
        <w:t xml:space="preserve">anggungan berada. </w:t>
      </w:r>
    </w:p>
    <w:p w:rsidR="00AA6F3E" w:rsidRPr="00354E40" w:rsidRDefault="00AA6F3E" w:rsidP="00AA6F3E">
      <w:pPr>
        <w:pStyle w:val="ListParagraph"/>
        <w:numPr>
          <w:ilvl w:val="0"/>
          <w:numId w:val="13"/>
        </w:numPr>
        <w:spacing w:line="480" w:lineRule="auto"/>
        <w:ind w:left="0" w:hanging="284"/>
        <w:jc w:val="both"/>
        <w:rPr>
          <w:rFonts w:ascii="Times New Roman" w:hAnsi="Times New Roman" w:cs="Times New Roman"/>
          <w:sz w:val="24"/>
          <w:szCs w:val="24"/>
        </w:rPr>
      </w:pPr>
      <w:r w:rsidRPr="00354E40">
        <w:rPr>
          <w:rFonts w:ascii="Times New Roman" w:hAnsi="Times New Roman" w:cs="Times New Roman"/>
          <w:sz w:val="24"/>
          <w:szCs w:val="24"/>
        </w:rPr>
        <w:t>Objek Hak Tanggungan</w:t>
      </w:r>
    </w:p>
    <w:p w:rsidR="00AA6F3E" w:rsidRDefault="00AA6F3E" w:rsidP="00AA6F3E">
      <w:pPr>
        <w:pStyle w:val="ListParagraph"/>
        <w:spacing w:line="48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Objek hak tanggungan adalah hak-hak atas tanah apa yang dapat dijadikan jaminan hutang dengan dibebani hak tanggungan. Sutarno mengemukakan bahwa </w:t>
      </w:r>
      <w:r>
        <w:rPr>
          <w:rFonts w:ascii="Times New Roman" w:hAnsi="Times New Roman" w:cs="Times New Roman"/>
          <w:sz w:val="24"/>
          <w:szCs w:val="24"/>
        </w:rPr>
        <w:lastRenderedPageBreak/>
        <w:t>terdapat dua unsur mutlak dari hak atas tanah yang dapat dijadikan objek hak tanggungan, yaitu :</w:t>
      </w:r>
      <w:r>
        <w:rPr>
          <w:rStyle w:val="FootnoteReference"/>
          <w:rFonts w:ascii="Times New Roman" w:hAnsi="Times New Roman" w:cs="Times New Roman"/>
          <w:sz w:val="24"/>
          <w:szCs w:val="24"/>
        </w:rPr>
        <w:footnoteReference w:id="22"/>
      </w:r>
    </w:p>
    <w:p w:rsidR="00AA6F3E" w:rsidRDefault="00AA6F3E" w:rsidP="00AA6F3E">
      <w:pPr>
        <w:pStyle w:val="ListParagraph"/>
        <w:numPr>
          <w:ilvl w:val="0"/>
          <w:numId w:val="7"/>
        </w:numPr>
        <w:spacing w:line="480" w:lineRule="auto"/>
        <w:ind w:left="0" w:hanging="284"/>
        <w:jc w:val="both"/>
        <w:rPr>
          <w:rFonts w:ascii="Times New Roman" w:hAnsi="Times New Roman" w:cs="Times New Roman"/>
          <w:sz w:val="24"/>
          <w:szCs w:val="24"/>
        </w:rPr>
      </w:pPr>
      <w:r>
        <w:rPr>
          <w:rFonts w:ascii="Times New Roman" w:hAnsi="Times New Roman" w:cs="Times New Roman"/>
          <w:sz w:val="24"/>
          <w:szCs w:val="24"/>
        </w:rPr>
        <w:t xml:space="preserve">Hak atas tanah tersebut sesuai ketentuan yang berlaku wajib didaftar dalam daftar umum, yaitu Kantor Pertanahan. Wajib didaftar dalam daftar umum maksudnya adalah bahwa hak atas tanah tersebut telah bersertipikat. </w:t>
      </w:r>
    </w:p>
    <w:p w:rsidR="00AA6F3E" w:rsidRDefault="00AA6F3E" w:rsidP="00AA6F3E">
      <w:pPr>
        <w:pStyle w:val="ListParagraph"/>
        <w:numPr>
          <w:ilvl w:val="0"/>
          <w:numId w:val="7"/>
        </w:numPr>
        <w:spacing w:line="480" w:lineRule="auto"/>
        <w:ind w:left="0" w:hanging="284"/>
        <w:jc w:val="both"/>
        <w:rPr>
          <w:rFonts w:ascii="Times New Roman" w:hAnsi="Times New Roman" w:cs="Times New Roman"/>
          <w:sz w:val="24"/>
          <w:szCs w:val="24"/>
        </w:rPr>
      </w:pPr>
      <w:r>
        <w:rPr>
          <w:rFonts w:ascii="Times New Roman" w:hAnsi="Times New Roman" w:cs="Times New Roman"/>
          <w:sz w:val="24"/>
          <w:szCs w:val="24"/>
        </w:rPr>
        <w:t xml:space="preserve">Hak atas tanah tersebut menurut sifatnya harus dapat dipindah tangankan (misalnya bisa dijual), sehingga apabila diperlukan dapat segera direalisasi untuk menjamin utang yang dijamin pelunasannya. </w:t>
      </w:r>
    </w:p>
    <w:p w:rsidR="00AA6F3E" w:rsidRDefault="00AA6F3E" w:rsidP="00AA6F3E">
      <w:pPr>
        <w:pStyle w:val="ListParagraph"/>
        <w:spacing w:line="48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Pasal 4 ayat (1) UUHT mengatur bahwa hak atas tanah yang dapat dibebani hak tanggungan adalah Hak Milik, Hak Guna Usaha (HGU), Hak Guna Bangunan (HGB). Selain itu Hak Pakai atas tanah negara yang menurut ketentuan yang berlaku wajib didaftar dan menurut sifatnya dapat dipindahtangankan (Pasal 4 ayat (2)). Hak tanggungan dapat juga dibebankan pada hak atas tanah  berikut bangunan, tanaman, dan hasil karya yang telah ada  atau yang akan ada yang merupakan satu kesatuan dengan tanah tersebut, dan yang merupakan milik pemegang hak atas tanah yang pembebanannya dengan tegas dinyatakan dalam APHT yang bersangkutan. </w:t>
      </w:r>
    </w:p>
    <w:p w:rsidR="00AA6F3E" w:rsidRDefault="00AA6F3E" w:rsidP="00AA6F3E">
      <w:pPr>
        <w:pStyle w:val="ListParagraph"/>
        <w:spacing w:line="48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Boedi Harsono mengemukakan bahwa ketentuan Pasal 4 ayat (4) tersebut tidak mengandung arti bahwa Hukum Tanah Nasional kita yang menggunakan asas pemisahan </w:t>
      </w:r>
      <w:r w:rsidRPr="001170B6">
        <w:rPr>
          <w:rFonts w:ascii="Times New Roman" w:hAnsi="Times New Roman" w:cs="Times New Roman"/>
          <w:i/>
          <w:sz w:val="24"/>
          <w:szCs w:val="24"/>
        </w:rPr>
        <w:t>horizontal</w:t>
      </w:r>
      <w:r>
        <w:rPr>
          <w:rFonts w:ascii="Times New Roman" w:hAnsi="Times New Roman" w:cs="Times New Roman"/>
          <w:sz w:val="24"/>
          <w:szCs w:val="24"/>
        </w:rPr>
        <w:t xml:space="preserve">, meninggalkan asas tersebut dan menggantinya dengan asas </w:t>
      </w:r>
      <w:r w:rsidRPr="001170B6">
        <w:rPr>
          <w:rFonts w:ascii="Times New Roman" w:hAnsi="Times New Roman" w:cs="Times New Roman"/>
          <w:i/>
          <w:sz w:val="24"/>
          <w:szCs w:val="24"/>
        </w:rPr>
        <w:t>accesie</w:t>
      </w:r>
      <w:r>
        <w:rPr>
          <w:rFonts w:ascii="Times New Roman" w:hAnsi="Times New Roman" w:cs="Times New Roman"/>
          <w:sz w:val="24"/>
          <w:szCs w:val="24"/>
        </w:rPr>
        <w:t xml:space="preserve">. Sebagaimana dimaklumi Hukum Tanah Nasional kita didasarkan pada hukum adat, yang menggunakan asas pemisahan </w:t>
      </w:r>
      <w:r w:rsidRPr="00E1561E">
        <w:rPr>
          <w:rFonts w:ascii="Times New Roman" w:hAnsi="Times New Roman" w:cs="Times New Roman"/>
          <w:i/>
          <w:sz w:val="24"/>
          <w:szCs w:val="24"/>
        </w:rPr>
        <w:t>horizontal</w:t>
      </w:r>
      <w:r>
        <w:rPr>
          <w:rFonts w:ascii="Times New Roman" w:hAnsi="Times New Roman" w:cs="Times New Roman"/>
          <w:sz w:val="24"/>
          <w:szCs w:val="24"/>
        </w:rPr>
        <w:t xml:space="preserve">. Maka dalam </w:t>
      </w:r>
      <w:r>
        <w:rPr>
          <w:rFonts w:ascii="Times New Roman" w:hAnsi="Times New Roman" w:cs="Times New Roman"/>
          <w:sz w:val="24"/>
          <w:szCs w:val="24"/>
        </w:rPr>
        <w:lastRenderedPageBreak/>
        <w:t xml:space="preserve">kaitannya dengan bangunan, tanaman, dan hasil karya tersebut Hukum Tanah Nasional menggunakan juga asas pemisahan </w:t>
      </w:r>
      <w:r w:rsidRPr="00E1561E">
        <w:rPr>
          <w:rFonts w:ascii="Times New Roman" w:hAnsi="Times New Roman" w:cs="Times New Roman"/>
          <w:i/>
          <w:sz w:val="24"/>
          <w:szCs w:val="24"/>
        </w:rPr>
        <w:t>horizontal</w:t>
      </w:r>
      <w:r>
        <w:rPr>
          <w:rFonts w:ascii="Times New Roman" w:hAnsi="Times New Roman" w:cs="Times New Roman"/>
          <w:sz w:val="24"/>
          <w:szCs w:val="24"/>
        </w:rPr>
        <w:t xml:space="preserve">. Dalam rangka asas pemisahan horizontal, benda-benda yang merupakan satu kesatuan dengan tanah menurut hukum </w:t>
      </w:r>
      <w:r w:rsidRPr="00E1561E">
        <w:rPr>
          <w:rFonts w:ascii="Times New Roman" w:hAnsi="Times New Roman" w:cs="Times New Roman"/>
          <w:i/>
          <w:sz w:val="24"/>
          <w:szCs w:val="24"/>
        </w:rPr>
        <w:t>bukan merupakan bagian</w:t>
      </w:r>
      <w:r>
        <w:rPr>
          <w:rFonts w:ascii="Times New Roman" w:hAnsi="Times New Roman" w:cs="Times New Roman"/>
          <w:sz w:val="24"/>
          <w:szCs w:val="24"/>
        </w:rPr>
        <w:t xml:space="preserve"> dari tanah yang bersangkutan. Oleh karena itu setiap perbuatan hukum mengenai hak-hak atas tanah, tidak dengan sendirinya meliputi benda-benda tersebut.</w:t>
      </w:r>
      <w:r>
        <w:rPr>
          <w:rStyle w:val="FootnoteReference"/>
          <w:rFonts w:ascii="Times New Roman" w:hAnsi="Times New Roman" w:cs="Times New Roman"/>
          <w:sz w:val="24"/>
          <w:szCs w:val="24"/>
        </w:rPr>
        <w:footnoteReference w:id="23"/>
      </w:r>
    </w:p>
    <w:p w:rsidR="00AA6F3E" w:rsidRDefault="00AA6F3E" w:rsidP="00AA6F3E">
      <w:pPr>
        <w:pStyle w:val="ListParagraph"/>
        <w:spacing w:line="240" w:lineRule="auto"/>
        <w:ind w:left="0" w:firstLine="851"/>
        <w:jc w:val="both"/>
        <w:rPr>
          <w:rFonts w:ascii="Times New Roman" w:hAnsi="Times New Roman" w:cs="Times New Roman"/>
          <w:sz w:val="24"/>
          <w:szCs w:val="24"/>
        </w:rPr>
      </w:pPr>
    </w:p>
    <w:p w:rsidR="00AA6F3E" w:rsidRDefault="00AA6F3E" w:rsidP="00AA6F3E">
      <w:pPr>
        <w:pStyle w:val="ListParagraph"/>
        <w:spacing w:line="48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Tanah-tanah yang bukti kepemilikannya berupa </w:t>
      </w:r>
      <w:r w:rsidRPr="00354E40">
        <w:rPr>
          <w:rFonts w:ascii="Times New Roman" w:hAnsi="Times New Roman" w:cs="Times New Roman"/>
          <w:i/>
          <w:sz w:val="24"/>
          <w:szCs w:val="24"/>
        </w:rPr>
        <w:t>girik</w:t>
      </w:r>
      <w:r>
        <w:rPr>
          <w:rFonts w:ascii="Times New Roman" w:hAnsi="Times New Roman" w:cs="Times New Roman"/>
          <w:sz w:val="24"/>
          <w:szCs w:val="24"/>
        </w:rPr>
        <w:t xml:space="preserve">, </w:t>
      </w:r>
      <w:r w:rsidRPr="00354E40">
        <w:rPr>
          <w:rFonts w:ascii="Times New Roman" w:hAnsi="Times New Roman" w:cs="Times New Roman"/>
          <w:i/>
          <w:sz w:val="24"/>
          <w:szCs w:val="24"/>
        </w:rPr>
        <w:t>petuk</w:t>
      </w:r>
      <w:r>
        <w:rPr>
          <w:rFonts w:ascii="Times New Roman" w:hAnsi="Times New Roman" w:cs="Times New Roman"/>
          <w:sz w:val="24"/>
          <w:szCs w:val="24"/>
        </w:rPr>
        <w:t xml:space="preserve"> dan lain-lain sejenis yang dapat dijadikan jaminan utang dengan dibebani sebagai objek Hak Tanggungan, dengan syarat pemasangan hak tanggungan dilakukan bersamaan dengan permohonan pendaftaran hak atas tanah (permohonan sertipikat tanah). Terhadap tanah-tanah tersebut, pada saat pembuatan APHT wajib disertai dengan surat keterangan dari Kantor Pertanahan bahwa sedang dimohon sertipikat tanahnya (Pasal 10 ayat (3)).</w:t>
      </w:r>
    </w:p>
    <w:p w:rsidR="00AA6F3E" w:rsidRDefault="00AA6F3E" w:rsidP="00AA6F3E">
      <w:pPr>
        <w:pStyle w:val="ListParagraph"/>
        <w:spacing w:line="480" w:lineRule="auto"/>
        <w:ind w:left="0" w:firstLine="851"/>
        <w:jc w:val="both"/>
        <w:rPr>
          <w:rFonts w:ascii="Times New Roman" w:hAnsi="Times New Roman" w:cs="Times New Roman"/>
          <w:sz w:val="24"/>
          <w:szCs w:val="24"/>
        </w:rPr>
      </w:pPr>
      <w:r>
        <w:rPr>
          <w:rFonts w:ascii="Times New Roman" w:hAnsi="Times New Roman" w:cs="Times New Roman"/>
          <w:sz w:val="24"/>
          <w:szCs w:val="24"/>
        </w:rPr>
        <w:t>Rumah susun berikut tanah tempat bangunan itu berdiri serta lainnya yang merupakan satu kesatuan  dengan tanah dan Hak Milik atas satuan rumah susun juga merupakan objek hak tanggungan menurut ketentuan Pasal 12 dan 13 Undang-Undang Nomor 16 Tahun 1985 tentang Rumah Susun jo Pasal 27 UUHT.</w:t>
      </w:r>
    </w:p>
    <w:p w:rsidR="00AA6F3E" w:rsidRDefault="00AA6F3E" w:rsidP="00AA6F3E">
      <w:pPr>
        <w:pStyle w:val="ListParagraph"/>
        <w:numPr>
          <w:ilvl w:val="0"/>
          <w:numId w:val="13"/>
        </w:numPr>
        <w:spacing w:line="480" w:lineRule="auto"/>
        <w:ind w:left="0"/>
        <w:jc w:val="both"/>
        <w:rPr>
          <w:rFonts w:ascii="Times New Roman" w:hAnsi="Times New Roman" w:cs="Times New Roman"/>
          <w:sz w:val="24"/>
          <w:szCs w:val="24"/>
        </w:rPr>
      </w:pPr>
      <w:r>
        <w:rPr>
          <w:rFonts w:ascii="Times New Roman" w:hAnsi="Times New Roman" w:cs="Times New Roman"/>
          <w:sz w:val="24"/>
          <w:szCs w:val="24"/>
        </w:rPr>
        <w:t>Akta Pemberian Hak Tanggungan (APHT) dan Sertipikat Hak Tanggungan (SHT).</w:t>
      </w:r>
    </w:p>
    <w:p w:rsidR="00AA6F3E" w:rsidRDefault="00AA6F3E" w:rsidP="00AA6F3E">
      <w:pPr>
        <w:pStyle w:val="ListParagraph"/>
        <w:spacing w:line="48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UUHT </w:t>
      </w:r>
      <w:r w:rsidRPr="00BD4830">
        <w:rPr>
          <w:rFonts w:ascii="Times New Roman" w:hAnsi="Times New Roman" w:cs="Times New Roman"/>
          <w:sz w:val="24"/>
          <w:szCs w:val="24"/>
        </w:rPr>
        <w:t xml:space="preserve">menggunakan istilah pemberian, sedangkan </w:t>
      </w:r>
      <w:r>
        <w:rPr>
          <w:rFonts w:ascii="Times New Roman" w:hAnsi="Times New Roman" w:cs="Times New Roman"/>
          <w:sz w:val="24"/>
          <w:szCs w:val="24"/>
        </w:rPr>
        <w:t xml:space="preserve">UUPA </w:t>
      </w:r>
      <w:r w:rsidRPr="00BD4830">
        <w:rPr>
          <w:rFonts w:ascii="Times New Roman" w:hAnsi="Times New Roman" w:cs="Times New Roman"/>
          <w:sz w:val="24"/>
          <w:szCs w:val="24"/>
        </w:rPr>
        <w:t xml:space="preserve">dan Peraturan Menteri Agraria No. 15 Tahun 1961 pasal 3 menggunakan dua istilah yaitu </w:t>
      </w:r>
      <w:r w:rsidRPr="00BD4830">
        <w:rPr>
          <w:rFonts w:ascii="Times New Roman" w:hAnsi="Times New Roman" w:cs="Times New Roman"/>
          <w:sz w:val="24"/>
          <w:szCs w:val="24"/>
        </w:rPr>
        <w:lastRenderedPageBreak/>
        <w:t xml:space="preserve">pemberian dan pemasangan. </w:t>
      </w:r>
      <w:r>
        <w:rPr>
          <w:rFonts w:ascii="Times New Roman" w:hAnsi="Times New Roman" w:cs="Times New Roman"/>
          <w:sz w:val="24"/>
          <w:szCs w:val="24"/>
        </w:rPr>
        <w:t>Mariam Darus Badrulzaman berpendapat bahwa</w:t>
      </w:r>
      <w:r w:rsidRPr="00BD4830">
        <w:rPr>
          <w:rFonts w:ascii="Times New Roman" w:hAnsi="Times New Roman" w:cs="Times New Roman"/>
          <w:sz w:val="24"/>
          <w:szCs w:val="24"/>
        </w:rPr>
        <w:t xml:space="preserve"> istilah pembebanan mengandung arti identik dengan pemberian dan pemasangan. Pemberian </w:t>
      </w:r>
      <w:r>
        <w:rPr>
          <w:rFonts w:ascii="Times New Roman" w:hAnsi="Times New Roman" w:cs="Times New Roman"/>
          <w:sz w:val="24"/>
          <w:szCs w:val="24"/>
        </w:rPr>
        <w:t>h</w:t>
      </w:r>
      <w:r w:rsidRPr="00BD4830">
        <w:rPr>
          <w:rFonts w:ascii="Times New Roman" w:hAnsi="Times New Roman" w:cs="Times New Roman"/>
          <w:sz w:val="24"/>
          <w:szCs w:val="24"/>
        </w:rPr>
        <w:t xml:space="preserve">ak </w:t>
      </w:r>
      <w:r>
        <w:rPr>
          <w:rFonts w:ascii="Times New Roman" w:hAnsi="Times New Roman" w:cs="Times New Roman"/>
          <w:sz w:val="24"/>
          <w:szCs w:val="24"/>
        </w:rPr>
        <w:t>t</w:t>
      </w:r>
      <w:r w:rsidRPr="00BD4830">
        <w:rPr>
          <w:rFonts w:ascii="Times New Roman" w:hAnsi="Times New Roman" w:cs="Times New Roman"/>
          <w:sz w:val="24"/>
          <w:szCs w:val="24"/>
        </w:rPr>
        <w:t xml:space="preserve">anggungan adalah perjanjian kebendaan yang terdiri dari rangkaian perbuatan hukum dari Akta Pemberian Hak Tanggungan (APHT) sampai dilakukan pendaftaran dengan mendapatkan </w:t>
      </w:r>
      <w:r>
        <w:rPr>
          <w:rFonts w:ascii="Times New Roman" w:hAnsi="Times New Roman" w:cs="Times New Roman"/>
          <w:sz w:val="24"/>
          <w:szCs w:val="24"/>
        </w:rPr>
        <w:t>S</w:t>
      </w:r>
      <w:r w:rsidRPr="00BD4830">
        <w:rPr>
          <w:rFonts w:ascii="Times New Roman" w:hAnsi="Times New Roman" w:cs="Times New Roman"/>
          <w:sz w:val="24"/>
          <w:szCs w:val="24"/>
        </w:rPr>
        <w:t>ertipikat Hak Tanggungan dari Kantor Pertanahan.</w:t>
      </w:r>
      <w:r w:rsidRPr="00BD4830">
        <w:rPr>
          <w:rStyle w:val="FootnoteReference"/>
          <w:rFonts w:ascii="Times New Roman" w:hAnsi="Times New Roman" w:cs="Times New Roman"/>
          <w:sz w:val="24"/>
          <w:szCs w:val="24"/>
        </w:rPr>
        <w:footnoteReference w:id="24"/>
      </w:r>
    </w:p>
    <w:p w:rsidR="00AA6F3E" w:rsidRPr="00E10720" w:rsidRDefault="00AA6F3E" w:rsidP="00AA6F3E">
      <w:pPr>
        <w:pStyle w:val="ListParagraph"/>
        <w:numPr>
          <w:ilvl w:val="0"/>
          <w:numId w:val="15"/>
        </w:numPr>
        <w:spacing w:line="480" w:lineRule="auto"/>
        <w:ind w:left="0"/>
        <w:jc w:val="both"/>
        <w:rPr>
          <w:rFonts w:ascii="Times New Roman" w:hAnsi="Times New Roman" w:cs="Times New Roman"/>
          <w:sz w:val="24"/>
          <w:szCs w:val="24"/>
        </w:rPr>
      </w:pPr>
      <w:r>
        <w:rPr>
          <w:rFonts w:ascii="Times New Roman" w:hAnsi="Times New Roman" w:cs="Times New Roman"/>
          <w:sz w:val="24"/>
          <w:szCs w:val="24"/>
        </w:rPr>
        <w:t>Akta Pemberian Hak Tanggungan (APHT)</w:t>
      </w:r>
    </w:p>
    <w:p w:rsidR="00AA6F3E" w:rsidRPr="00342DB5" w:rsidRDefault="00AA6F3E" w:rsidP="00AA6F3E">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Pemberian Hak Tanggungan dilakukan di kantor Pejabat Pembuat Akta Tanah (PPAT) dengan dibuatnya Akta Pemberian Hak Tanggungan oleh pejabat tersebut, yang bentuk dan isinya ditetapkan dengan Peraturan Menteri Negara Agraria/ Kepala Badan Pertanahan Nasional Nomor 3 Tahun 1996. Akta Pemberian Hak Tanggungan mengatur persyaratan dan ketentuan mengenai pemberian hak tanggungan dari debitur kepada kreditur sehubungan dengan utang yang dijaminkan dengan hak tanggungan. </w:t>
      </w:r>
    </w:p>
    <w:p w:rsidR="00AA6F3E" w:rsidRDefault="00AA6F3E" w:rsidP="00AA6F3E">
      <w:pPr>
        <w:pStyle w:val="ListParagraph"/>
        <w:spacing w:line="480" w:lineRule="auto"/>
        <w:ind w:left="0" w:firstLine="851"/>
        <w:jc w:val="both"/>
        <w:rPr>
          <w:rFonts w:ascii="Times New Roman" w:hAnsi="Times New Roman" w:cs="Times New Roman"/>
          <w:sz w:val="24"/>
          <w:szCs w:val="24"/>
        </w:rPr>
      </w:pPr>
      <w:r w:rsidRPr="000C2596">
        <w:rPr>
          <w:rFonts w:ascii="Times New Roman" w:hAnsi="Times New Roman" w:cs="Times New Roman"/>
          <w:i/>
          <w:sz w:val="24"/>
          <w:szCs w:val="24"/>
        </w:rPr>
        <w:t>Droit de preference</w:t>
      </w:r>
      <w:r>
        <w:rPr>
          <w:rFonts w:ascii="Times New Roman" w:hAnsi="Times New Roman" w:cs="Times New Roman"/>
          <w:sz w:val="24"/>
          <w:szCs w:val="24"/>
        </w:rPr>
        <w:t xml:space="preserve"> dan </w:t>
      </w:r>
      <w:r w:rsidRPr="000C2596">
        <w:rPr>
          <w:rFonts w:ascii="Times New Roman" w:hAnsi="Times New Roman" w:cs="Times New Roman"/>
          <w:i/>
          <w:sz w:val="24"/>
          <w:szCs w:val="24"/>
        </w:rPr>
        <w:t>droit de suite</w:t>
      </w:r>
      <w:r>
        <w:rPr>
          <w:rFonts w:ascii="Times New Roman" w:hAnsi="Times New Roman" w:cs="Times New Roman"/>
          <w:sz w:val="24"/>
          <w:szCs w:val="24"/>
        </w:rPr>
        <w:t xml:space="preserve"> sebagai dua keistimewaan yang ada pada kreditur pemegang hak tanggungan mengurangi perlindungan yang diberikan oleh hukum kepada kreditur lain dan pembeli objek hak tanggungan. Maka sebagai imbangannya ditetapkan persyaratan bagi sahnya pembebanan hak tanggungan atas benda-benda yang dijadikan jaminan dan dengan demikian bagi diperolehnya dua keistimewaan tersebut oleh kreditur yang bersangkutan. Pemberian hak tanggungan wajib dilakukan dengan akta autentik, dalam hal ini </w:t>
      </w:r>
      <w:r>
        <w:rPr>
          <w:rFonts w:ascii="Times New Roman" w:hAnsi="Times New Roman" w:cs="Times New Roman"/>
          <w:sz w:val="24"/>
          <w:szCs w:val="24"/>
        </w:rPr>
        <w:lastRenderedPageBreak/>
        <w:t>Akta Pemberian Hak Tanggungan (APHT), yang dibuat oleh seorang pejabat, yang disebut Pejabat Pembuat Akta Tanah.</w:t>
      </w:r>
      <w:r>
        <w:rPr>
          <w:rStyle w:val="FootnoteReference"/>
          <w:rFonts w:ascii="Times New Roman" w:hAnsi="Times New Roman" w:cs="Times New Roman"/>
          <w:sz w:val="24"/>
          <w:szCs w:val="24"/>
        </w:rPr>
        <w:footnoteReference w:id="25"/>
      </w:r>
    </w:p>
    <w:p w:rsidR="00AA6F3E" w:rsidRDefault="00AA6F3E" w:rsidP="00AA6F3E">
      <w:pPr>
        <w:pStyle w:val="ListParagraph"/>
        <w:spacing w:line="480" w:lineRule="auto"/>
        <w:ind w:left="0" w:firstLine="851"/>
        <w:jc w:val="both"/>
        <w:rPr>
          <w:rFonts w:ascii="Times New Roman" w:hAnsi="Times New Roman" w:cs="Times New Roman"/>
          <w:sz w:val="24"/>
          <w:szCs w:val="24"/>
        </w:rPr>
      </w:pPr>
      <w:r>
        <w:rPr>
          <w:rFonts w:ascii="Times New Roman" w:hAnsi="Times New Roman" w:cs="Times New Roman"/>
          <w:sz w:val="24"/>
          <w:szCs w:val="24"/>
        </w:rPr>
        <w:t>PPAT adalah pejabat umum yang berwenang membuat akta pemindahan hak  atas tanah dan akta lain dalam rangka pembebanan hak atas tanah yang bentuk aktanya ditetapkan sebagai bukti dilakukannya perbuatan hukum tertentu mengenai tanah yang terletak dalam daerah kerjanya masing-masing. Dalam kedudukan sebagai yang disebutkan diatas, maka akta-akta yang dibuat oleh PPAT merupakan akta autentik.</w:t>
      </w:r>
      <w:r>
        <w:rPr>
          <w:rStyle w:val="FootnoteReference"/>
          <w:rFonts w:ascii="Times New Roman" w:hAnsi="Times New Roman" w:cs="Times New Roman"/>
          <w:sz w:val="24"/>
          <w:szCs w:val="24"/>
        </w:rPr>
        <w:footnoteReference w:id="26"/>
      </w:r>
      <w:r>
        <w:rPr>
          <w:rFonts w:ascii="Times New Roman" w:hAnsi="Times New Roman" w:cs="Times New Roman"/>
          <w:sz w:val="24"/>
          <w:szCs w:val="24"/>
        </w:rPr>
        <w:t xml:space="preserve"> PPAT diangkat oleh Menteri Negara Agraria/ Kepala Badan Pertanahan Nasional dan memiliki daerah kerja tertentu. PPAT hanya berwenang membuat akta mengenai tanah yang ada di wilayah kerjanya, kecuali dalam hal-hal khusus yang memerlukan ijin dari Kepala Kantor Wilayah Badan Pertanahan Nasional.</w:t>
      </w:r>
    </w:p>
    <w:p w:rsidR="00AA6F3E" w:rsidRDefault="00AA6F3E" w:rsidP="00AA6F3E">
      <w:pPr>
        <w:pStyle w:val="ListParagraph"/>
        <w:spacing w:line="480" w:lineRule="auto"/>
        <w:ind w:left="0" w:firstLine="851"/>
        <w:jc w:val="both"/>
        <w:rPr>
          <w:rFonts w:ascii="Times New Roman" w:hAnsi="Times New Roman" w:cs="Times New Roman"/>
          <w:sz w:val="24"/>
          <w:szCs w:val="24"/>
        </w:rPr>
      </w:pPr>
      <w:r>
        <w:rPr>
          <w:rFonts w:ascii="Times New Roman" w:hAnsi="Times New Roman" w:cs="Times New Roman"/>
          <w:sz w:val="24"/>
          <w:szCs w:val="24"/>
        </w:rPr>
        <w:t>Dalam pemberian hak tanggungan, jika karena sesuatu hal tertentu pemberi hak tanggungan tidak dapat hadir sendiri menghadap PPAT untuk memberikan hak tanggungan, pemberi hak tanggungan wajib menunjuk pihak lain untuk menjadi kuasanya dalam pemberian hak tanggungan tersebut dengan memberikan Surat Kuasa Memberikan Hak Tanggungan  (SKMHT) yang berbentuk akta autentik. Pembuatan SKMHT dapat dimintakan pembuatannya kepada Notaris atau kepada PPAT.</w:t>
      </w:r>
      <w:r>
        <w:rPr>
          <w:rStyle w:val="FootnoteReference"/>
          <w:rFonts w:ascii="Times New Roman" w:hAnsi="Times New Roman" w:cs="Times New Roman"/>
          <w:sz w:val="24"/>
          <w:szCs w:val="24"/>
        </w:rPr>
        <w:footnoteReference w:id="27"/>
      </w:r>
      <w:r>
        <w:rPr>
          <w:rFonts w:ascii="Times New Roman" w:hAnsi="Times New Roman" w:cs="Times New Roman"/>
          <w:sz w:val="24"/>
          <w:szCs w:val="24"/>
        </w:rPr>
        <w:t xml:space="preserve"> Undang-Undang Nomor 2 Tahun 2014 tentang Perubahan Undang-Undang Nomor 30 Tahun 2004 tentang Jabatan Notaris (UUJN) adalah pejabat umum yang berwenang untuk membuat akta </w:t>
      </w:r>
      <w:r>
        <w:rPr>
          <w:rFonts w:ascii="Times New Roman" w:hAnsi="Times New Roman" w:cs="Times New Roman"/>
          <w:sz w:val="24"/>
          <w:szCs w:val="24"/>
        </w:rPr>
        <w:lastRenderedPageBreak/>
        <w:t>autentik dan memiliki kewenangan lainnya sebagaimana dimaksud dalam undang-undang ini atau berdasarkan undang-undang lainnya.</w:t>
      </w:r>
    </w:p>
    <w:p w:rsidR="00AA6F3E" w:rsidRPr="000C2596" w:rsidRDefault="00AA6F3E" w:rsidP="00AA6F3E">
      <w:pPr>
        <w:pStyle w:val="ListParagraph"/>
        <w:spacing w:line="480" w:lineRule="auto"/>
        <w:ind w:left="0" w:firstLine="851"/>
        <w:jc w:val="both"/>
        <w:rPr>
          <w:rFonts w:ascii="Times New Roman" w:hAnsi="Times New Roman" w:cs="Times New Roman"/>
          <w:sz w:val="24"/>
          <w:szCs w:val="24"/>
        </w:rPr>
      </w:pPr>
      <w:r>
        <w:rPr>
          <w:rFonts w:ascii="Times New Roman" w:hAnsi="Times New Roman" w:cs="Times New Roman"/>
          <w:sz w:val="24"/>
          <w:szCs w:val="24"/>
        </w:rPr>
        <w:t>Sebagai penegasan tentang kewenangan notaris dalam pembuatan akta autentik yang diatur di luar UUJN sebagaimana yang terdapat dalam Pasal 1868 KUHPerdata. Pasal 1868 KUHPerdata menyatakan bahwa akta autentik ialah suatu akta yang di dalam bentuk yang ditentukan oleh undang-undang dibuat oleh atau di hadapan pejabat umum yang berwenang di tempat di mana akta itu dibuat.</w:t>
      </w:r>
      <w:r>
        <w:rPr>
          <w:rStyle w:val="FootnoteReference"/>
          <w:rFonts w:ascii="Times New Roman" w:hAnsi="Times New Roman" w:cs="Times New Roman"/>
          <w:sz w:val="24"/>
          <w:szCs w:val="24"/>
        </w:rPr>
        <w:footnoteReference w:id="28"/>
      </w:r>
      <w:r>
        <w:rPr>
          <w:rFonts w:ascii="Times New Roman" w:hAnsi="Times New Roman" w:cs="Times New Roman"/>
          <w:sz w:val="24"/>
          <w:szCs w:val="24"/>
        </w:rPr>
        <w:t xml:space="preserve"> </w:t>
      </w:r>
    </w:p>
    <w:p w:rsidR="00AA6F3E" w:rsidRPr="00BD4830" w:rsidRDefault="00AA6F3E" w:rsidP="00AA6F3E">
      <w:pPr>
        <w:pStyle w:val="ListParagraph"/>
        <w:spacing w:line="480" w:lineRule="auto"/>
        <w:ind w:left="0" w:firstLine="851"/>
        <w:jc w:val="both"/>
        <w:rPr>
          <w:rFonts w:ascii="Times New Roman" w:hAnsi="Times New Roman" w:cs="Times New Roman"/>
          <w:sz w:val="24"/>
          <w:szCs w:val="24"/>
        </w:rPr>
      </w:pPr>
      <w:r w:rsidRPr="00BD4830">
        <w:rPr>
          <w:rFonts w:ascii="Times New Roman" w:hAnsi="Times New Roman" w:cs="Times New Roman"/>
          <w:sz w:val="24"/>
          <w:szCs w:val="24"/>
        </w:rPr>
        <w:t xml:space="preserve">Menurut Pasal 10 </w:t>
      </w:r>
      <w:r>
        <w:rPr>
          <w:rFonts w:ascii="Times New Roman" w:hAnsi="Times New Roman" w:cs="Times New Roman"/>
          <w:sz w:val="24"/>
          <w:szCs w:val="24"/>
        </w:rPr>
        <w:t>UUHT</w:t>
      </w:r>
      <w:r w:rsidRPr="00BD4830">
        <w:rPr>
          <w:rFonts w:ascii="Times New Roman" w:hAnsi="Times New Roman" w:cs="Times New Roman"/>
          <w:sz w:val="24"/>
          <w:szCs w:val="24"/>
        </w:rPr>
        <w:t xml:space="preserve">, prosedur pemberian </w:t>
      </w:r>
      <w:r>
        <w:rPr>
          <w:rFonts w:ascii="Times New Roman" w:hAnsi="Times New Roman" w:cs="Times New Roman"/>
          <w:sz w:val="24"/>
          <w:szCs w:val="24"/>
        </w:rPr>
        <w:t>h</w:t>
      </w:r>
      <w:r w:rsidRPr="00BD4830">
        <w:rPr>
          <w:rFonts w:ascii="Times New Roman" w:hAnsi="Times New Roman" w:cs="Times New Roman"/>
          <w:sz w:val="24"/>
          <w:szCs w:val="24"/>
        </w:rPr>
        <w:t xml:space="preserve">ak </w:t>
      </w:r>
      <w:r>
        <w:rPr>
          <w:rFonts w:ascii="Times New Roman" w:hAnsi="Times New Roman" w:cs="Times New Roman"/>
          <w:sz w:val="24"/>
          <w:szCs w:val="24"/>
        </w:rPr>
        <w:t>t</w:t>
      </w:r>
      <w:r w:rsidRPr="00BD4830">
        <w:rPr>
          <w:rFonts w:ascii="Times New Roman" w:hAnsi="Times New Roman" w:cs="Times New Roman"/>
          <w:sz w:val="24"/>
          <w:szCs w:val="24"/>
        </w:rPr>
        <w:t xml:space="preserve">anggungan secara langsung adalah : </w:t>
      </w:r>
    </w:p>
    <w:p w:rsidR="00AA6F3E" w:rsidRDefault="00AA6F3E" w:rsidP="00AA6F3E">
      <w:pPr>
        <w:pStyle w:val="ListParagraph"/>
        <w:numPr>
          <w:ilvl w:val="0"/>
          <w:numId w:val="16"/>
        </w:numPr>
        <w:spacing w:line="480" w:lineRule="auto"/>
        <w:ind w:left="0"/>
        <w:jc w:val="both"/>
        <w:rPr>
          <w:rFonts w:ascii="Times New Roman" w:hAnsi="Times New Roman" w:cs="Times New Roman"/>
          <w:sz w:val="24"/>
          <w:szCs w:val="24"/>
        </w:rPr>
      </w:pPr>
      <w:r w:rsidRPr="00382BD4">
        <w:rPr>
          <w:rFonts w:ascii="Times New Roman" w:hAnsi="Times New Roman" w:cs="Times New Roman"/>
          <w:sz w:val="24"/>
          <w:szCs w:val="24"/>
        </w:rPr>
        <w:t xml:space="preserve">Pemberian </w:t>
      </w:r>
      <w:r>
        <w:rPr>
          <w:rFonts w:ascii="Times New Roman" w:hAnsi="Times New Roman" w:cs="Times New Roman"/>
          <w:sz w:val="24"/>
          <w:szCs w:val="24"/>
        </w:rPr>
        <w:t>h</w:t>
      </w:r>
      <w:r w:rsidRPr="00382BD4">
        <w:rPr>
          <w:rFonts w:ascii="Times New Roman" w:hAnsi="Times New Roman" w:cs="Times New Roman"/>
          <w:sz w:val="24"/>
          <w:szCs w:val="24"/>
        </w:rPr>
        <w:t xml:space="preserve">ak </w:t>
      </w:r>
      <w:r>
        <w:rPr>
          <w:rFonts w:ascii="Times New Roman" w:hAnsi="Times New Roman" w:cs="Times New Roman"/>
          <w:sz w:val="24"/>
          <w:szCs w:val="24"/>
        </w:rPr>
        <w:t>t</w:t>
      </w:r>
      <w:r w:rsidRPr="00382BD4">
        <w:rPr>
          <w:rFonts w:ascii="Times New Roman" w:hAnsi="Times New Roman" w:cs="Times New Roman"/>
          <w:sz w:val="24"/>
          <w:szCs w:val="24"/>
        </w:rPr>
        <w:t xml:space="preserve">anggungan didahului dengan janji untuk memberikan </w:t>
      </w:r>
      <w:r>
        <w:rPr>
          <w:rFonts w:ascii="Times New Roman" w:hAnsi="Times New Roman" w:cs="Times New Roman"/>
          <w:sz w:val="24"/>
          <w:szCs w:val="24"/>
        </w:rPr>
        <w:t>h</w:t>
      </w:r>
      <w:r w:rsidRPr="00382BD4">
        <w:rPr>
          <w:rFonts w:ascii="Times New Roman" w:hAnsi="Times New Roman" w:cs="Times New Roman"/>
          <w:sz w:val="24"/>
          <w:szCs w:val="24"/>
        </w:rPr>
        <w:t xml:space="preserve">ak </w:t>
      </w:r>
      <w:r>
        <w:rPr>
          <w:rFonts w:ascii="Times New Roman" w:hAnsi="Times New Roman" w:cs="Times New Roman"/>
          <w:sz w:val="24"/>
          <w:szCs w:val="24"/>
        </w:rPr>
        <w:t>t</w:t>
      </w:r>
      <w:r w:rsidRPr="00382BD4">
        <w:rPr>
          <w:rFonts w:ascii="Times New Roman" w:hAnsi="Times New Roman" w:cs="Times New Roman"/>
          <w:sz w:val="24"/>
          <w:szCs w:val="24"/>
        </w:rPr>
        <w:t>anggungan sebagai jaminan pelunasan utang tertentu, yang dituangkan di dalam dan merupakan bagian yang tak terpisahkan dari perjanjian utang-piutang yang bersangkutan atau perjanjian lainnya yang menimbulkan utang tersebut.</w:t>
      </w:r>
    </w:p>
    <w:p w:rsidR="00AA6F3E" w:rsidRDefault="00AA6F3E" w:rsidP="00AA6F3E">
      <w:pPr>
        <w:pStyle w:val="ListParagraph"/>
        <w:numPr>
          <w:ilvl w:val="0"/>
          <w:numId w:val="16"/>
        </w:numPr>
        <w:spacing w:line="480" w:lineRule="auto"/>
        <w:ind w:left="0"/>
        <w:jc w:val="both"/>
        <w:rPr>
          <w:rFonts w:ascii="Times New Roman" w:hAnsi="Times New Roman" w:cs="Times New Roman"/>
          <w:sz w:val="24"/>
          <w:szCs w:val="24"/>
        </w:rPr>
      </w:pPr>
      <w:r w:rsidRPr="00382BD4">
        <w:rPr>
          <w:rFonts w:ascii="Times New Roman" w:hAnsi="Times New Roman" w:cs="Times New Roman"/>
          <w:sz w:val="24"/>
          <w:szCs w:val="24"/>
        </w:rPr>
        <w:t xml:space="preserve">Pemberian </w:t>
      </w:r>
      <w:r>
        <w:rPr>
          <w:rFonts w:ascii="Times New Roman" w:hAnsi="Times New Roman" w:cs="Times New Roman"/>
          <w:sz w:val="24"/>
          <w:szCs w:val="24"/>
        </w:rPr>
        <w:t>h</w:t>
      </w:r>
      <w:r w:rsidRPr="00382BD4">
        <w:rPr>
          <w:rFonts w:ascii="Times New Roman" w:hAnsi="Times New Roman" w:cs="Times New Roman"/>
          <w:sz w:val="24"/>
          <w:szCs w:val="24"/>
        </w:rPr>
        <w:t xml:space="preserve">ak </w:t>
      </w:r>
      <w:r>
        <w:rPr>
          <w:rFonts w:ascii="Times New Roman" w:hAnsi="Times New Roman" w:cs="Times New Roman"/>
          <w:sz w:val="24"/>
          <w:szCs w:val="24"/>
        </w:rPr>
        <w:t>t</w:t>
      </w:r>
      <w:r w:rsidRPr="00382BD4">
        <w:rPr>
          <w:rFonts w:ascii="Times New Roman" w:hAnsi="Times New Roman" w:cs="Times New Roman"/>
          <w:sz w:val="24"/>
          <w:szCs w:val="24"/>
        </w:rPr>
        <w:t xml:space="preserve">anggungan dilakukan dengan pembuatan Akta Pemberian Hak Tanggungan oleh PPAT sesuai dengan peraturan perundang-undangan yang berlaku. </w:t>
      </w:r>
    </w:p>
    <w:p w:rsidR="00AA6F3E" w:rsidRPr="00382BD4" w:rsidRDefault="00AA6F3E" w:rsidP="00AA6F3E">
      <w:pPr>
        <w:pStyle w:val="ListParagraph"/>
        <w:numPr>
          <w:ilvl w:val="0"/>
          <w:numId w:val="16"/>
        </w:numPr>
        <w:spacing w:line="480" w:lineRule="auto"/>
        <w:ind w:left="0"/>
        <w:jc w:val="both"/>
        <w:rPr>
          <w:rFonts w:ascii="Times New Roman" w:hAnsi="Times New Roman" w:cs="Times New Roman"/>
          <w:sz w:val="24"/>
          <w:szCs w:val="24"/>
        </w:rPr>
      </w:pPr>
      <w:r w:rsidRPr="00382BD4">
        <w:rPr>
          <w:rFonts w:ascii="Times New Roman" w:hAnsi="Times New Roman" w:cs="Times New Roman"/>
          <w:sz w:val="24"/>
          <w:szCs w:val="24"/>
        </w:rPr>
        <w:t xml:space="preserve">Apabila objek </w:t>
      </w:r>
      <w:r>
        <w:rPr>
          <w:rFonts w:ascii="Times New Roman" w:hAnsi="Times New Roman" w:cs="Times New Roman"/>
          <w:sz w:val="24"/>
          <w:szCs w:val="24"/>
        </w:rPr>
        <w:t>h</w:t>
      </w:r>
      <w:r w:rsidRPr="00382BD4">
        <w:rPr>
          <w:rFonts w:ascii="Times New Roman" w:hAnsi="Times New Roman" w:cs="Times New Roman"/>
          <w:sz w:val="24"/>
          <w:szCs w:val="24"/>
        </w:rPr>
        <w:t xml:space="preserve">ak </w:t>
      </w:r>
      <w:r>
        <w:rPr>
          <w:rFonts w:ascii="Times New Roman" w:hAnsi="Times New Roman" w:cs="Times New Roman"/>
          <w:sz w:val="24"/>
          <w:szCs w:val="24"/>
        </w:rPr>
        <w:t>t</w:t>
      </w:r>
      <w:r w:rsidRPr="00382BD4">
        <w:rPr>
          <w:rFonts w:ascii="Times New Roman" w:hAnsi="Times New Roman" w:cs="Times New Roman"/>
          <w:sz w:val="24"/>
          <w:szCs w:val="24"/>
        </w:rPr>
        <w:t xml:space="preserve">anggungan  berupa hak atas tanah yang berasal dari konversi hak lama yang telah memenuhi syarat untuk didaftarkan akan tetapi </w:t>
      </w:r>
      <w:r w:rsidRPr="00382BD4">
        <w:rPr>
          <w:rFonts w:ascii="Times New Roman" w:hAnsi="Times New Roman" w:cs="Times New Roman"/>
          <w:sz w:val="24"/>
          <w:szCs w:val="24"/>
        </w:rPr>
        <w:lastRenderedPageBreak/>
        <w:t xml:space="preserve">pendaftarannya belum dilakukan, pemberian </w:t>
      </w:r>
      <w:r>
        <w:rPr>
          <w:rFonts w:ascii="Times New Roman" w:hAnsi="Times New Roman" w:cs="Times New Roman"/>
          <w:sz w:val="24"/>
          <w:szCs w:val="24"/>
        </w:rPr>
        <w:t>h</w:t>
      </w:r>
      <w:r w:rsidRPr="00382BD4">
        <w:rPr>
          <w:rFonts w:ascii="Times New Roman" w:hAnsi="Times New Roman" w:cs="Times New Roman"/>
          <w:sz w:val="24"/>
          <w:szCs w:val="24"/>
        </w:rPr>
        <w:t xml:space="preserve">ak </w:t>
      </w:r>
      <w:r>
        <w:rPr>
          <w:rFonts w:ascii="Times New Roman" w:hAnsi="Times New Roman" w:cs="Times New Roman"/>
          <w:sz w:val="24"/>
          <w:szCs w:val="24"/>
        </w:rPr>
        <w:t>t</w:t>
      </w:r>
      <w:r w:rsidRPr="00382BD4">
        <w:rPr>
          <w:rFonts w:ascii="Times New Roman" w:hAnsi="Times New Roman" w:cs="Times New Roman"/>
          <w:sz w:val="24"/>
          <w:szCs w:val="24"/>
        </w:rPr>
        <w:t>anggungan dilakukan bersamaan dengan permohonan pendaftaran hak atas tanah yang bersangkutan.</w:t>
      </w:r>
      <w:r w:rsidRPr="00BD4830">
        <w:rPr>
          <w:rStyle w:val="FootnoteReference"/>
          <w:rFonts w:ascii="Times New Roman" w:hAnsi="Times New Roman" w:cs="Times New Roman"/>
          <w:sz w:val="24"/>
          <w:szCs w:val="24"/>
        </w:rPr>
        <w:footnoteReference w:id="29"/>
      </w:r>
    </w:p>
    <w:p w:rsidR="00AA6F3E" w:rsidRPr="00BD4830" w:rsidRDefault="00AA6F3E" w:rsidP="00AA6F3E">
      <w:pPr>
        <w:spacing w:line="480" w:lineRule="auto"/>
        <w:ind w:firstLine="851"/>
        <w:jc w:val="both"/>
        <w:rPr>
          <w:rFonts w:ascii="Times New Roman" w:hAnsi="Times New Roman" w:cs="Times New Roman"/>
          <w:sz w:val="24"/>
          <w:szCs w:val="24"/>
        </w:rPr>
      </w:pPr>
      <w:r w:rsidRPr="00BD4830">
        <w:rPr>
          <w:rFonts w:ascii="Times New Roman" w:hAnsi="Times New Roman" w:cs="Times New Roman"/>
          <w:sz w:val="24"/>
          <w:szCs w:val="24"/>
        </w:rPr>
        <w:t xml:space="preserve">Pendaftaran </w:t>
      </w:r>
      <w:r>
        <w:rPr>
          <w:rFonts w:ascii="Times New Roman" w:hAnsi="Times New Roman" w:cs="Times New Roman"/>
          <w:sz w:val="24"/>
          <w:szCs w:val="24"/>
        </w:rPr>
        <w:t>h</w:t>
      </w:r>
      <w:r w:rsidRPr="00BD4830">
        <w:rPr>
          <w:rFonts w:ascii="Times New Roman" w:hAnsi="Times New Roman" w:cs="Times New Roman"/>
          <w:sz w:val="24"/>
          <w:szCs w:val="24"/>
        </w:rPr>
        <w:t xml:space="preserve">ak </w:t>
      </w:r>
      <w:r>
        <w:rPr>
          <w:rFonts w:ascii="Times New Roman" w:hAnsi="Times New Roman" w:cs="Times New Roman"/>
          <w:sz w:val="24"/>
          <w:szCs w:val="24"/>
        </w:rPr>
        <w:t>t</w:t>
      </w:r>
      <w:r w:rsidRPr="00BD4830">
        <w:rPr>
          <w:rFonts w:ascii="Times New Roman" w:hAnsi="Times New Roman" w:cs="Times New Roman"/>
          <w:sz w:val="24"/>
          <w:szCs w:val="24"/>
        </w:rPr>
        <w:t xml:space="preserve">anggungan diatur dalam pasal 13 sampai dengan pasal 14 </w:t>
      </w:r>
      <w:r>
        <w:rPr>
          <w:rFonts w:ascii="Times New Roman" w:hAnsi="Times New Roman" w:cs="Times New Roman"/>
          <w:sz w:val="24"/>
          <w:szCs w:val="24"/>
        </w:rPr>
        <w:t>UUHT</w:t>
      </w:r>
      <w:r w:rsidRPr="00BD4830">
        <w:rPr>
          <w:rFonts w:ascii="Times New Roman" w:hAnsi="Times New Roman" w:cs="Times New Roman"/>
          <w:sz w:val="24"/>
          <w:szCs w:val="24"/>
        </w:rPr>
        <w:t xml:space="preserve">. Tata cara pendaftaran </w:t>
      </w:r>
      <w:r>
        <w:rPr>
          <w:rFonts w:ascii="Times New Roman" w:hAnsi="Times New Roman" w:cs="Times New Roman"/>
          <w:sz w:val="24"/>
          <w:szCs w:val="24"/>
        </w:rPr>
        <w:t>h</w:t>
      </w:r>
      <w:r w:rsidRPr="00BD4830">
        <w:rPr>
          <w:rFonts w:ascii="Times New Roman" w:hAnsi="Times New Roman" w:cs="Times New Roman"/>
          <w:sz w:val="24"/>
          <w:szCs w:val="24"/>
        </w:rPr>
        <w:t xml:space="preserve">ak </w:t>
      </w:r>
      <w:r>
        <w:rPr>
          <w:rFonts w:ascii="Times New Roman" w:hAnsi="Times New Roman" w:cs="Times New Roman"/>
          <w:sz w:val="24"/>
          <w:szCs w:val="24"/>
        </w:rPr>
        <w:t>t</w:t>
      </w:r>
      <w:r w:rsidRPr="00BD4830">
        <w:rPr>
          <w:rFonts w:ascii="Times New Roman" w:hAnsi="Times New Roman" w:cs="Times New Roman"/>
          <w:sz w:val="24"/>
          <w:szCs w:val="24"/>
        </w:rPr>
        <w:t>anggungan adalah sebagai berikut :</w:t>
      </w:r>
    </w:p>
    <w:p w:rsidR="00AA6F3E" w:rsidRPr="00BD4830" w:rsidRDefault="00AA6F3E" w:rsidP="00AA6F3E">
      <w:pPr>
        <w:pStyle w:val="ListParagraph"/>
        <w:numPr>
          <w:ilvl w:val="0"/>
          <w:numId w:val="17"/>
        </w:numPr>
        <w:spacing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APHT </w:t>
      </w:r>
      <w:r w:rsidRPr="00BD4830">
        <w:rPr>
          <w:rFonts w:ascii="Times New Roman" w:hAnsi="Times New Roman" w:cs="Times New Roman"/>
          <w:sz w:val="24"/>
          <w:szCs w:val="24"/>
        </w:rPr>
        <w:t>wajib didaftarkan di Kantor Pertanahan.</w:t>
      </w:r>
    </w:p>
    <w:p w:rsidR="00AA6F3E" w:rsidRPr="00BD4830" w:rsidRDefault="00AA6F3E" w:rsidP="00AA6F3E">
      <w:pPr>
        <w:pStyle w:val="ListParagraph"/>
        <w:numPr>
          <w:ilvl w:val="0"/>
          <w:numId w:val="17"/>
        </w:numPr>
        <w:spacing w:line="480" w:lineRule="auto"/>
        <w:ind w:left="284"/>
        <w:jc w:val="both"/>
        <w:rPr>
          <w:rFonts w:ascii="Times New Roman" w:hAnsi="Times New Roman" w:cs="Times New Roman"/>
          <w:sz w:val="24"/>
          <w:szCs w:val="24"/>
        </w:rPr>
      </w:pPr>
      <w:r w:rsidRPr="00BD4830">
        <w:rPr>
          <w:rFonts w:ascii="Times New Roman" w:hAnsi="Times New Roman" w:cs="Times New Roman"/>
          <w:sz w:val="24"/>
          <w:szCs w:val="24"/>
        </w:rPr>
        <w:t>Selambat-lambatnya 7 (tujuh) hari  kerja setelah penandatangan APHT</w:t>
      </w:r>
      <w:r>
        <w:rPr>
          <w:rFonts w:ascii="Times New Roman" w:hAnsi="Times New Roman" w:cs="Times New Roman"/>
          <w:sz w:val="24"/>
          <w:szCs w:val="24"/>
        </w:rPr>
        <w:t xml:space="preserve">, PPAT wajib </w:t>
      </w:r>
      <w:r w:rsidRPr="00BD4830">
        <w:rPr>
          <w:rFonts w:ascii="Times New Roman" w:hAnsi="Times New Roman" w:cs="Times New Roman"/>
          <w:sz w:val="24"/>
          <w:szCs w:val="24"/>
        </w:rPr>
        <w:t>mengirimkan APHT yang bersangkutan dan warkah lain yang diperlukan pada Kantor Pertanahan.</w:t>
      </w:r>
      <w:r w:rsidRPr="00BD4830">
        <w:rPr>
          <w:rStyle w:val="FootnoteReference"/>
          <w:rFonts w:ascii="Times New Roman" w:hAnsi="Times New Roman" w:cs="Times New Roman"/>
          <w:sz w:val="24"/>
          <w:szCs w:val="24"/>
        </w:rPr>
        <w:footnoteReference w:id="30"/>
      </w:r>
    </w:p>
    <w:p w:rsidR="00AA6F3E" w:rsidRPr="00BD4830" w:rsidRDefault="00AA6F3E" w:rsidP="00AA6F3E">
      <w:pPr>
        <w:pStyle w:val="ListParagraph"/>
        <w:numPr>
          <w:ilvl w:val="0"/>
          <w:numId w:val="17"/>
        </w:numPr>
        <w:spacing w:line="480" w:lineRule="auto"/>
        <w:ind w:left="284"/>
        <w:jc w:val="both"/>
        <w:rPr>
          <w:rFonts w:ascii="Times New Roman" w:hAnsi="Times New Roman" w:cs="Times New Roman"/>
          <w:sz w:val="24"/>
          <w:szCs w:val="24"/>
        </w:rPr>
      </w:pPr>
      <w:r w:rsidRPr="00BD4830">
        <w:rPr>
          <w:rFonts w:ascii="Times New Roman" w:hAnsi="Times New Roman" w:cs="Times New Roman"/>
          <w:sz w:val="24"/>
          <w:szCs w:val="24"/>
        </w:rPr>
        <w:t xml:space="preserve">Pendaftaran </w:t>
      </w:r>
      <w:r>
        <w:rPr>
          <w:rFonts w:ascii="Times New Roman" w:hAnsi="Times New Roman" w:cs="Times New Roman"/>
          <w:sz w:val="24"/>
          <w:szCs w:val="24"/>
        </w:rPr>
        <w:t>h</w:t>
      </w:r>
      <w:r w:rsidRPr="00BD4830">
        <w:rPr>
          <w:rFonts w:ascii="Times New Roman" w:hAnsi="Times New Roman" w:cs="Times New Roman"/>
          <w:sz w:val="24"/>
          <w:szCs w:val="24"/>
        </w:rPr>
        <w:t xml:space="preserve">ak </w:t>
      </w:r>
      <w:r>
        <w:rPr>
          <w:rFonts w:ascii="Times New Roman" w:hAnsi="Times New Roman" w:cs="Times New Roman"/>
          <w:sz w:val="24"/>
          <w:szCs w:val="24"/>
        </w:rPr>
        <w:t>t</w:t>
      </w:r>
      <w:r w:rsidRPr="00BD4830">
        <w:rPr>
          <w:rFonts w:ascii="Times New Roman" w:hAnsi="Times New Roman" w:cs="Times New Roman"/>
          <w:sz w:val="24"/>
          <w:szCs w:val="24"/>
        </w:rPr>
        <w:t xml:space="preserve">anggungan dilakukan oleh Kantor Pertanahan dengan membuatkan buku tanah </w:t>
      </w:r>
      <w:r>
        <w:rPr>
          <w:rFonts w:ascii="Times New Roman" w:hAnsi="Times New Roman" w:cs="Times New Roman"/>
          <w:sz w:val="24"/>
          <w:szCs w:val="24"/>
        </w:rPr>
        <w:t>h</w:t>
      </w:r>
      <w:r w:rsidRPr="00BD4830">
        <w:rPr>
          <w:rFonts w:ascii="Times New Roman" w:hAnsi="Times New Roman" w:cs="Times New Roman"/>
          <w:sz w:val="24"/>
          <w:szCs w:val="24"/>
        </w:rPr>
        <w:t xml:space="preserve">ak </w:t>
      </w:r>
      <w:r>
        <w:rPr>
          <w:rFonts w:ascii="Times New Roman" w:hAnsi="Times New Roman" w:cs="Times New Roman"/>
          <w:sz w:val="24"/>
          <w:szCs w:val="24"/>
        </w:rPr>
        <w:t>t</w:t>
      </w:r>
      <w:r w:rsidRPr="00BD4830">
        <w:rPr>
          <w:rFonts w:ascii="Times New Roman" w:hAnsi="Times New Roman" w:cs="Times New Roman"/>
          <w:sz w:val="24"/>
          <w:szCs w:val="24"/>
        </w:rPr>
        <w:t>anggungan dan mencatatnya dalam buku tanah hak atas tanah yang m</w:t>
      </w:r>
      <w:r>
        <w:rPr>
          <w:rFonts w:ascii="Times New Roman" w:hAnsi="Times New Roman" w:cs="Times New Roman"/>
          <w:sz w:val="24"/>
          <w:szCs w:val="24"/>
        </w:rPr>
        <w:t>enjadi obj</w:t>
      </w:r>
      <w:r w:rsidRPr="00BD4830">
        <w:rPr>
          <w:rFonts w:ascii="Times New Roman" w:hAnsi="Times New Roman" w:cs="Times New Roman"/>
          <w:sz w:val="24"/>
          <w:szCs w:val="24"/>
        </w:rPr>
        <w:t xml:space="preserve">ek </w:t>
      </w:r>
      <w:r>
        <w:rPr>
          <w:rFonts w:ascii="Times New Roman" w:hAnsi="Times New Roman" w:cs="Times New Roman"/>
          <w:sz w:val="24"/>
          <w:szCs w:val="24"/>
        </w:rPr>
        <w:t>h</w:t>
      </w:r>
      <w:r w:rsidRPr="00BD4830">
        <w:rPr>
          <w:rFonts w:ascii="Times New Roman" w:hAnsi="Times New Roman" w:cs="Times New Roman"/>
          <w:sz w:val="24"/>
          <w:szCs w:val="24"/>
        </w:rPr>
        <w:t xml:space="preserve">ak </w:t>
      </w:r>
      <w:r>
        <w:rPr>
          <w:rFonts w:ascii="Times New Roman" w:hAnsi="Times New Roman" w:cs="Times New Roman"/>
          <w:sz w:val="24"/>
          <w:szCs w:val="24"/>
        </w:rPr>
        <w:t>t</w:t>
      </w:r>
      <w:r w:rsidRPr="00BD4830">
        <w:rPr>
          <w:rFonts w:ascii="Times New Roman" w:hAnsi="Times New Roman" w:cs="Times New Roman"/>
          <w:sz w:val="24"/>
          <w:szCs w:val="24"/>
        </w:rPr>
        <w:t>anggungan serta menyalin catatan tersebut pada sertipikat hak atas tanah yang bersangkutan.</w:t>
      </w:r>
    </w:p>
    <w:p w:rsidR="00AA6F3E" w:rsidRPr="00BD4830" w:rsidRDefault="00AA6F3E" w:rsidP="00AA6F3E">
      <w:pPr>
        <w:pStyle w:val="ListParagraph"/>
        <w:numPr>
          <w:ilvl w:val="0"/>
          <w:numId w:val="17"/>
        </w:numPr>
        <w:spacing w:line="480" w:lineRule="auto"/>
        <w:ind w:left="284"/>
        <w:jc w:val="both"/>
        <w:rPr>
          <w:rFonts w:ascii="Times New Roman" w:hAnsi="Times New Roman" w:cs="Times New Roman"/>
          <w:sz w:val="24"/>
          <w:szCs w:val="24"/>
        </w:rPr>
      </w:pPr>
      <w:r w:rsidRPr="00BD4830">
        <w:rPr>
          <w:rFonts w:ascii="Times New Roman" w:hAnsi="Times New Roman" w:cs="Times New Roman"/>
          <w:sz w:val="24"/>
          <w:szCs w:val="24"/>
        </w:rPr>
        <w:t xml:space="preserve">Tanggal buku tanah </w:t>
      </w:r>
      <w:r>
        <w:rPr>
          <w:rFonts w:ascii="Times New Roman" w:hAnsi="Times New Roman" w:cs="Times New Roman"/>
          <w:sz w:val="24"/>
          <w:szCs w:val="24"/>
        </w:rPr>
        <w:t>h</w:t>
      </w:r>
      <w:r w:rsidRPr="00BD4830">
        <w:rPr>
          <w:rFonts w:ascii="Times New Roman" w:hAnsi="Times New Roman" w:cs="Times New Roman"/>
          <w:sz w:val="24"/>
          <w:szCs w:val="24"/>
        </w:rPr>
        <w:t xml:space="preserve">ak </w:t>
      </w:r>
      <w:r>
        <w:rPr>
          <w:rFonts w:ascii="Times New Roman" w:hAnsi="Times New Roman" w:cs="Times New Roman"/>
          <w:sz w:val="24"/>
          <w:szCs w:val="24"/>
        </w:rPr>
        <w:t>t</w:t>
      </w:r>
      <w:r w:rsidRPr="00BD4830">
        <w:rPr>
          <w:rFonts w:ascii="Times New Roman" w:hAnsi="Times New Roman" w:cs="Times New Roman"/>
          <w:sz w:val="24"/>
          <w:szCs w:val="24"/>
        </w:rPr>
        <w:t>anggungan adalah tanggal hari ketujuh setelah penerimaan secara lengkap surat-surat yang diperlukan bagi pendaftarannya.</w:t>
      </w:r>
    </w:p>
    <w:p w:rsidR="00AA6F3E" w:rsidRPr="00BD4830" w:rsidRDefault="00AA6F3E" w:rsidP="00AA6F3E">
      <w:pPr>
        <w:pStyle w:val="ListParagraph"/>
        <w:numPr>
          <w:ilvl w:val="0"/>
          <w:numId w:val="17"/>
        </w:numPr>
        <w:spacing w:line="480" w:lineRule="auto"/>
        <w:ind w:left="284"/>
        <w:jc w:val="both"/>
        <w:rPr>
          <w:rFonts w:ascii="Times New Roman" w:hAnsi="Times New Roman" w:cs="Times New Roman"/>
          <w:sz w:val="24"/>
          <w:szCs w:val="24"/>
        </w:rPr>
      </w:pPr>
      <w:r w:rsidRPr="00BD4830">
        <w:rPr>
          <w:rFonts w:ascii="Times New Roman" w:hAnsi="Times New Roman" w:cs="Times New Roman"/>
          <w:sz w:val="24"/>
          <w:szCs w:val="24"/>
        </w:rPr>
        <w:t xml:space="preserve">Hak </w:t>
      </w:r>
      <w:r>
        <w:rPr>
          <w:rFonts w:ascii="Times New Roman" w:hAnsi="Times New Roman" w:cs="Times New Roman"/>
          <w:sz w:val="24"/>
          <w:szCs w:val="24"/>
        </w:rPr>
        <w:t>t</w:t>
      </w:r>
      <w:r w:rsidRPr="00BD4830">
        <w:rPr>
          <w:rFonts w:ascii="Times New Roman" w:hAnsi="Times New Roman" w:cs="Times New Roman"/>
          <w:sz w:val="24"/>
          <w:szCs w:val="24"/>
        </w:rPr>
        <w:t xml:space="preserve">anggungan lahir pada hari tanggal buku tanah </w:t>
      </w:r>
      <w:r>
        <w:rPr>
          <w:rFonts w:ascii="Times New Roman" w:hAnsi="Times New Roman" w:cs="Times New Roman"/>
          <w:sz w:val="24"/>
          <w:szCs w:val="24"/>
        </w:rPr>
        <w:t>h</w:t>
      </w:r>
      <w:r w:rsidRPr="00BD4830">
        <w:rPr>
          <w:rFonts w:ascii="Times New Roman" w:hAnsi="Times New Roman" w:cs="Times New Roman"/>
          <w:sz w:val="24"/>
          <w:szCs w:val="24"/>
        </w:rPr>
        <w:t xml:space="preserve">ak </w:t>
      </w:r>
      <w:r>
        <w:rPr>
          <w:rFonts w:ascii="Times New Roman" w:hAnsi="Times New Roman" w:cs="Times New Roman"/>
          <w:sz w:val="24"/>
          <w:szCs w:val="24"/>
        </w:rPr>
        <w:t>t</w:t>
      </w:r>
      <w:r w:rsidRPr="00BD4830">
        <w:rPr>
          <w:rFonts w:ascii="Times New Roman" w:hAnsi="Times New Roman" w:cs="Times New Roman"/>
          <w:sz w:val="24"/>
          <w:szCs w:val="24"/>
        </w:rPr>
        <w:t xml:space="preserve">anggungan. </w:t>
      </w:r>
    </w:p>
    <w:p w:rsidR="00AA6F3E" w:rsidRDefault="00AA6F3E" w:rsidP="00AA6F3E">
      <w:pPr>
        <w:pStyle w:val="ListParagraph"/>
        <w:numPr>
          <w:ilvl w:val="0"/>
          <w:numId w:val="17"/>
        </w:numPr>
        <w:spacing w:line="480" w:lineRule="auto"/>
        <w:ind w:left="284"/>
        <w:jc w:val="both"/>
        <w:rPr>
          <w:rFonts w:ascii="Times New Roman" w:hAnsi="Times New Roman" w:cs="Times New Roman"/>
          <w:sz w:val="24"/>
          <w:szCs w:val="24"/>
        </w:rPr>
      </w:pPr>
      <w:r w:rsidRPr="006652A7">
        <w:rPr>
          <w:rFonts w:ascii="Times New Roman" w:hAnsi="Times New Roman" w:cs="Times New Roman"/>
          <w:sz w:val="24"/>
          <w:szCs w:val="24"/>
        </w:rPr>
        <w:t>Kantor Pertanahan menerbitkan Sertipikat Hak Tanggungan.</w:t>
      </w:r>
    </w:p>
    <w:p w:rsidR="00AA6F3E" w:rsidRPr="00AC2AC0" w:rsidRDefault="00AA6F3E" w:rsidP="00AA6F3E">
      <w:pPr>
        <w:pStyle w:val="ListParagraph"/>
        <w:numPr>
          <w:ilvl w:val="0"/>
          <w:numId w:val="15"/>
        </w:numPr>
        <w:spacing w:line="480" w:lineRule="auto"/>
        <w:ind w:left="284"/>
        <w:jc w:val="both"/>
        <w:rPr>
          <w:rFonts w:ascii="Times New Roman" w:hAnsi="Times New Roman" w:cs="Times New Roman"/>
          <w:sz w:val="24"/>
          <w:szCs w:val="24"/>
        </w:rPr>
      </w:pPr>
      <w:r w:rsidRPr="00AC2AC0">
        <w:rPr>
          <w:rFonts w:ascii="Times New Roman" w:hAnsi="Times New Roman" w:cs="Times New Roman"/>
          <w:sz w:val="24"/>
          <w:szCs w:val="24"/>
        </w:rPr>
        <w:t>Sertipikat Hak Tanggungan</w:t>
      </w:r>
    </w:p>
    <w:p w:rsidR="00AA6F3E" w:rsidRDefault="00AA6F3E" w:rsidP="00AA6F3E">
      <w:pPr>
        <w:spacing w:line="480" w:lineRule="auto"/>
        <w:ind w:left="284" w:firstLine="851"/>
        <w:jc w:val="both"/>
        <w:rPr>
          <w:rFonts w:ascii="Times New Roman" w:hAnsi="Times New Roman" w:cs="Times New Roman"/>
          <w:sz w:val="24"/>
          <w:szCs w:val="24"/>
        </w:rPr>
      </w:pPr>
      <w:r>
        <w:rPr>
          <w:rFonts w:ascii="Times New Roman" w:hAnsi="Times New Roman" w:cs="Times New Roman"/>
          <w:sz w:val="24"/>
          <w:szCs w:val="24"/>
        </w:rPr>
        <w:lastRenderedPageBreak/>
        <w:t>Sertipikat Hak Tanggungan terdiri atas salinan buku tanah hak tanggungan dan salinan APHT. Keduanya dibuat oleh Kepala Kantor Pertanahan dan dijilid menjadi satu dalam satu sampul dokumen. Setelah S</w:t>
      </w:r>
      <w:r w:rsidRPr="00D92F8A">
        <w:rPr>
          <w:rFonts w:ascii="Times New Roman" w:hAnsi="Times New Roman" w:cs="Times New Roman"/>
          <w:sz w:val="24"/>
          <w:szCs w:val="24"/>
        </w:rPr>
        <w:t xml:space="preserve">ertipikat Hak Tanggungan </w:t>
      </w:r>
      <w:r>
        <w:rPr>
          <w:rFonts w:ascii="Times New Roman" w:hAnsi="Times New Roman" w:cs="Times New Roman"/>
          <w:sz w:val="24"/>
          <w:szCs w:val="24"/>
        </w:rPr>
        <w:t xml:space="preserve">diterbitkan sesuai dengan peraturan perundang-undangan yang berlaku, maka Sertipikat Hak Tanggungan diserahkan kepada kreditur pemegang hak tanggungan. Sertipikat Hak Tanggungan ini memuat irah-irah “Demi Keadilan Berdasarkan Ketuhanan Yang Maha Esa”, sehingga Sertipikat Hak Tanggungan mempunyai kekuatan eksekutorial yang sama dengan putusan pengadilan yang telah memperoleh kekuatan hukum tetap. Sertipikat Hak Tanggungan juga berlaku sebagai pengganti </w:t>
      </w:r>
      <w:r w:rsidRPr="002B1902">
        <w:rPr>
          <w:rFonts w:ascii="Times New Roman" w:hAnsi="Times New Roman" w:cs="Times New Roman"/>
          <w:i/>
          <w:sz w:val="24"/>
          <w:szCs w:val="24"/>
        </w:rPr>
        <w:t xml:space="preserve">grosse acta </w:t>
      </w:r>
      <w:r>
        <w:rPr>
          <w:rFonts w:ascii="Times New Roman" w:hAnsi="Times New Roman" w:cs="Times New Roman"/>
          <w:i/>
          <w:sz w:val="24"/>
          <w:szCs w:val="24"/>
        </w:rPr>
        <w:t>hy</w:t>
      </w:r>
      <w:r w:rsidRPr="002B1902">
        <w:rPr>
          <w:rFonts w:ascii="Times New Roman" w:hAnsi="Times New Roman" w:cs="Times New Roman"/>
          <w:i/>
          <w:sz w:val="24"/>
          <w:szCs w:val="24"/>
        </w:rPr>
        <w:t>pot</w:t>
      </w:r>
      <w:r>
        <w:rPr>
          <w:rFonts w:ascii="Times New Roman" w:hAnsi="Times New Roman" w:cs="Times New Roman"/>
          <w:i/>
          <w:sz w:val="24"/>
          <w:szCs w:val="24"/>
        </w:rPr>
        <w:t>e</w:t>
      </w:r>
      <w:r w:rsidRPr="002B1902">
        <w:rPr>
          <w:rFonts w:ascii="Times New Roman" w:hAnsi="Times New Roman" w:cs="Times New Roman"/>
          <w:i/>
          <w:sz w:val="24"/>
          <w:szCs w:val="24"/>
        </w:rPr>
        <w:t>ek</w:t>
      </w:r>
      <w:r>
        <w:rPr>
          <w:rFonts w:ascii="Times New Roman" w:hAnsi="Times New Roman" w:cs="Times New Roman"/>
          <w:sz w:val="24"/>
          <w:szCs w:val="24"/>
        </w:rPr>
        <w:t xml:space="preserve"> sepanjang mengenai hak atas tanah. </w:t>
      </w:r>
    </w:p>
    <w:p w:rsidR="00AA6F3E" w:rsidRPr="00DD2B14" w:rsidRDefault="00AA6F3E" w:rsidP="00AA6F3E">
      <w:pPr>
        <w:pStyle w:val="ListParagraph"/>
        <w:numPr>
          <w:ilvl w:val="0"/>
          <w:numId w:val="13"/>
        </w:numPr>
        <w:spacing w:line="480" w:lineRule="auto"/>
        <w:ind w:left="0" w:hanging="284"/>
        <w:jc w:val="both"/>
        <w:rPr>
          <w:rFonts w:ascii="Times New Roman" w:hAnsi="Times New Roman" w:cs="Times New Roman"/>
          <w:sz w:val="24"/>
          <w:szCs w:val="24"/>
        </w:rPr>
      </w:pPr>
      <w:r w:rsidRPr="00DD2B14">
        <w:rPr>
          <w:rFonts w:ascii="Times New Roman" w:hAnsi="Times New Roman" w:cs="Times New Roman"/>
          <w:sz w:val="24"/>
          <w:szCs w:val="24"/>
        </w:rPr>
        <w:t>Roya Hak Tanggungan</w:t>
      </w:r>
    </w:p>
    <w:p w:rsidR="00AA6F3E" w:rsidRPr="00A06AA4" w:rsidRDefault="00AA6F3E" w:rsidP="00AA6F3E">
      <w:pPr>
        <w:pStyle w:val="ListParagraph"/>
        <w:spacing w:line="48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Roya atau pencatatan hapusnya hak tanggungan diatur dalam Pasal 22 UUHT. Pencatatan tersebut dilakukan oleh Kepala Kantor Pertanahan dengan mencoret catatan adanya hak tanggungan yang bersangkutan pada buku tanah dan sertipikat objek yang dijadikan jaminan, dalam waktu tujuh hari kerja terhitung sejak diterimanya permohonan roya dari pihak yang berkepentingan. </w:t>
      </w:r>
    </w:p>
    <w:p w:rsidR="00AA6F3E" w:rsidRDefault="00AA6F3E" w:rsidP="00AA6F3E">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Pasal 15 UUHT mengatur bahwa diberikannya sertipikat hak tanggungan kepada pemegang hak tanggungan akan memberikan perlindungan hukum yang kuat bagi pemegang hak tanggungan, sehingga sertipikat hak atas tanah yang telah dibubuhi catatan pembebanan hak tanggungan dapat dikembalikan kepada pemilik hak atas tanah tersebut. Hal ini dapat tidak berlaku jika para pihak memperjanjikan lain.</w:t>
      </w:r>
    </w:p>
    <w:p w:rsidR="00AA6F3E" w:rsidRPr="00DD2B14" w:rsidRDefault="00AA6F3E" w:rsidP="00AA6F3E">
      <w:pPr>
        <w:pStyle w:val="ListParagraph"/>
        <w:numPr>
          <w:ilvl w:val="0"/>
          <w:numId w:val="13"/>
        </w:numPr>
        <w:spacing w:line="480" w:lineRule="auto"/>
        <w:ind w:left="0" w:hanging="284"/>
        <w:jc w:val="both"/>
        <w:rPr>
          <w:rFonts w:ascii="Times New Roman" w:hAnsi="Times New Roman" w:cs="Times New Roman"/>
          <w:sz w:val="24"/>
          <w:szCs w:val="24"/>
        </w:rPr>
      </w:pPr>
      <w:r w:rsidRPr="00DD2B14">
        <w:rPr>
          <w:rFonts w:ascii="Times New Roman" w:hAnsi="Times New Roman" w:cs="Times New Roman"/>
          <w:sz w:val="24"/>
          <w:szCs w:val="24"/>
        </w:rPr>
        <w:lastRenderedPageBreak/>
        <w:t xml:space="preserve">Hak dan Kewajiban Para Pihak dalam </w:t>
      </w:r>
      <w:r>
        <w:rPr>
          <w:rFonts w:ascii="Times New Roman" w:hAnsi="Times New Roman" w:cs="Times New Roman"/>
          <w:sz w:val="24"/>
          <w:szCs w:val="24"/>
        </w:rPr>
        <w:t>Pembebanan</w:t>
      </w:r>
      <w:r w:rsidRPr="00DD2B14">
        <w:rPr>
          <w:rFonts w:ascii="Times New Roman" w:hAnsi="Times New Roman" w:cs="Times New Roman"/>
          <w:sz w:val="24"/>
          <w:szCs w:val="24"/>
        </w:rPr>
        <w:t xml:space="preserve"> Hak Tanggungan</w:t>
      </w:r>
    </w:p>
    <w:p w:rsidR="00AA6F3E" w:rsidRDefault="00AA6F3E" w:rsidP="00AA6F3E">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Pembebanan hak tanggungan akan melahirkan hak dan kewajiban diantara para pihak, yaitu kreditur pemegang hak tanggungan dan debitur pemberi hak tanggungan. Hak dan kewajiban ini bertimbal balik, sehingga lahirlah perikatan diantara kedua pihak. Hofmann berpendapat bahwa perikatan adalah suatu hubungan hukum antara sejumlah terbatas subjek-subjek hukum sehubungan dengan itu seorang atau beberapa orang daripadanya (debitur atau para debitur) mengikatkan dirinya untuk bersikap menurut cara-cara tertentu terhadap pihak yang lain, yang berhak atas sikap yang demikian itu.</w:t>
      </w:r>
      <w:r>
        <w:rPr>
          <w:rStyle w:val="FootnoteReference"/>
          <w:rFonts w:ascii="Times New Roman" w:hAnsi="Times New Roman" w:cs="Times New Roman"/>
          <w:sz w:val="24"/>
          <w:szCs w:val="24"/>
        </w:rPr>
        <w:footnoteReference w:id="31"/>
      </w:r>
      <w:r>
        <w:rPr>
          <w:rFonts w:ascii="Times New Roman" w:hAnsi="Times New Roman" w:cs="Times New Roman"/>
          <w:sz w:val="24"/>
          <w:szCs w:val="24"/>
        </w:rPr>
        <w:t xml:space="preserve"> Perikatan adalah suatu hubungan hukum yang bersifat harta kekayaan antara dua orang atau lebih, atas dasar mana pihak yang satu berhak (kreditur) dan pihak lain berkewajiban (debitur) atas sesuatu prestasi.</w:t>
      </w:r>
      <w:r>
        <w:rPr>
          <w:rStyle w:val="FootnoteReference"/>
          <w:rFonts w:ascii="Times New Roman" w:hAnsi="Times New Roman" w:cs="Times New Roman"/>
          <w:sz w:val="24"/>
          <w:szCs w:val="24"/>
        </w:rPr>
        <w:footnoteReference w:id="32"/>
      </w:r>
      <w:r>
        <w:rPr>
          <w:rFonts w:ascii="Times New Roman" w:hAnsi="Times New Roman" w:cs="Times New Roman"/>
          <w:sz w:val="24"/>
          <w:szCs w:val="24"/>
        </w:rPr>
        <w:t xml:space="preserve"> </w:t>
      </w:r>
    </w:p>
    <w:p w:rsidR="00AA6F3E" w:rsidRDefault="00AA6F3E" w:rsidP="00AA6F3E">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Hak kreditur pemegang hak tanggungan secara otomatis merupakan kewajiban atau prestasi yang harus dilakukan oleh debitur pemberi Hak Tanggungan, yang meliputi :</w:t>
      </w:r>
      <w:r>
        <w:rPr>
          <w:rStyle w:val="FootnoteReference"/>
          <w:rFonts w:ascii="Times New Roman" w:hAnsi="Times New Roman" w:cs="Times New Roman"/>
          <w:sz w:val="24"/>
          <w:szCs w:val="24"/>
        </w:rPr>
        <w:footnoteReference w:id="33"/>
      </w:r>
    </w:p>
    <w:p w:rsidR="00AA6F3E" w:rsidRDefault="00AA6F3E" w:rsidP="00AA6F3E">
      <w:pPr>
        <w:pStyle w:val="ListParagraph"/>
        <w:numPr>
          <w:ilvl w:val="0"/>
          <w:numId w:val="8"/>
        </w:numPr>
        <w:spacing w:line="480" w:lineRule="auto"/>
        <w:ind w:left="0" w:hanging="284"/>
        <w:jc w:val="both"/>
        <w:rPr>
          <w:rFonts w:ascii="Times New Roman" w:hAnsi="Times New Roman" w:cs="Times New Roman"/>
          <w:sz w:val="24"/>
          <w:szCs w:val="24"/>
        </w:rPr>
      </w:pPr>
      <w:r>
        <w:rPr>
          <w:rFonts w:ascii="Times New Roman" w:hAnsi="Times New Roman" w:cs="Times New Roman"/>
          <w:sz w:val="24"/>
          <w:szCs w:val="24"/>
        </w:rPr>
        <w:t>Didahulukan dalam menerima pelunasan utang yang dijamin dengan hak tanggungan.</w:t>
      </w:r>
    </w:p>
    <w:p w:rsidR="00AA6F3E" w:rsidRDefault="00AA6F3E" w:rsidP="00AA6F3E">
      <w:pPr>
        <w:pStyle w:val="ListParagraph"/>
        <w:numPr>
          <w:ilvl w:val="0"/>
          <w:numId w:val="8"/>
        </w:numPr>
        <w:spacing w:line="480" w:lineRule="auto"/>
        <w:ind w:left="0" w:hanging="284"/>
        <w:jc w:val="both"/>
        <w:rPr>
          <w:rFonts w:ascii="Times New Roman" w:hAnsi="Times New Roman" w:cs="Times New Roman"/>
          <w:sz w:val="24"/>
          <w:szCs w:val="24"/>
        </w:rPr>
      </w:pPr>
      <w:r>
        <w:rPr>
          <w:rFonts w:ascii="Times New Roman" w:hAnsi="Times New Roman" w:cs="Times New Roman"/>
          <w:sz w:val="24"/>
          <w:szCs w:val="24"/>
        </w:rPr>
        <w:t>Menerima jaminan hak tanggungan.</w:t>
      </w:r>
    </w:p>
    <w:p w:rsidR="00AA6F3E" w:rsidRDefault="00AA6F3E" w:rsidP="00AA6F3E">
      <w:pPr>
        <w:pStyle w:val="ListParagraph"/>
        <w:numPr>
          <w:ilvl w:val="0"/>
          <w:numId w:val="8"/>
        </w:numPr>
        <w:spacing w:line="480" w:lineRule="auto"/>
        <w:ind w:left="0" w:hanging="284"/>
        <w:jc w:val="both"/>
        <w:rPr>
          <w:rFonts w:ascii="Times New Roman" w:hAnsi="Times New Roman" w:cs="Times New Roman"/>
          <w:sz w:val="24"/>
          <w:szCs w:val="24"/>
        </w:rPr>
      </w:pPr>
      <w:r>
        <w:rPr>
          <w:rFonts w:ascii="Times New Roman" w:hAnsi="Times New Roman" w:cs="Times New Roman"/>
          <w:sz w:val="24"/>
          <w:szCs w:val="24"/>
        </w:rPr>
        <w:lastRenderedPageBreak/>
        <w:t>Pemegang hak tanggungan pertama mempunyai hak untuk menjual objek hak tanggungan atas kekuasaan sendiri melalui pelelangan umum serta mengambil pelunasan piutangnya dari hasil penjualan tersebut.</w:t>
      </w:r>
    </w:p>
    <w:p w:rsidR="00AA6F3E" w:rsidRPr="008B6A26" w:rsidRDefault="00AA6F3E" w:rsidP="00AA6F3E">
      <w:pPr>
        <w:pStyle w:val="ListParagraph"/>
        <w:numPr>
          <w:ilvl w:val="0"/>
          <w:numId w:val="8"/>
        </w:numPr>
        <w:spacing w:line="480" w:lineRule="auto"/>
        <w:ind w:left="0" w:hanging="284"/>
        <w:jc w:val="both"/>
        <w:rPr>
          <w:rFonts w:ascii="Times New Roman" w:hAnsi="Times New Roman" w:cs="Times New Roman"/>
          <w:sz w:val="24"/>
          <w:szCs w:val="24"/>
        </w:rPr>
      </w:pPr>
      <w:r>
        <w:rPr>
          <w:rFonts w:ascii="Times New Roman" w:hAnsi="Times New Roman" w:cs="Times New Roman"/>
          <w:sz w:val="24"/>
          <w:szCs w:val="24"/>
        </w:rPr>
        <w:t>Melakukan eksekusi dan penjualan atas objek hak tanggungan jika debitur wanprestasi.</w:t>
      </w:r>
    </w:p>
    <w:p w:rsidR="00AA6F3E" w:rsidRDefault="00AA6F3E" w:rsidP="00AA6F3E">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Demikian pula sebaliknya, prestasi yang dilakukan oleh kreditur merupakan hak yang harus diterima oleh debitur, yang meliputi :</w:t>
      </w:r>
      <w:r>
        <w:rPr>
          <w:rStyle w:val="FootnoteReference"/>
          <w:rFonts w:ascii="Times New Roman" w:hAnsi="Times New Roman" w:cs="Times New Roman"/>
          <w:sz w:val="24"/>
          <w:szCs w:val="24"/>
        </w:rPr>
        <w:footnoteReference w:id="34"/>
      </w:r>
    </w:p>
    <w:p w:rsidR="00AA6F3E" w:rsidRDefault="00AA6F3E" w:rsidP="00AA6F3E">
      <w:pPr>
        <w:pStyle w:val="ListParagraph"/>
        <w:numPr>
          <w:ilvl w:val="0"/>
          <w:numId w:val="9"/>
        </w:numPr>
        <w:spacing w:line="480" w:lineRule="auto"/>
        <w:ind w:left="0" w:hanging="284"/>
        <w:jc w:val="both"/>
        <w:rPr>
          <w:rFonts w:ascii="Times New Roman" w:hAnsi="Times New Roman" w:cs="Times New Roman"/>
          <w:sz w:val="24"/>
          <w:szCs w:val="24"/>
        </w:rPr>
      </w:pPr>
      <w:r>
        <w:rPr>
          <w:rFonts w:ascii="Times New Roman" w:hAnsi="Times New Roman" w:cs="Times New Roman"/>
          <w:sz w:val="24"/>
          <w:szCs w:val="24"/>
        </w:rPr>
        <w:t>Menyerahkan piutang yang diperjanjikan kepada debitur.</w:t>
      </w:r>
    </w:p>
    <w:p w:rsidR="00AA6F3E" w:rsidRDefault="00AA6F3E" w:rsidP="00AA6F3E">
      <w:pPr>
        <w:pStyle w:val="ListParagraph"/>
        <w:numPr>
          <w:ilvl w:val="0"/>
          <w:numId w:val="9"/>
        </w:numPr>
        <w:spacing w:line="480" w:lineRule="auto"/>
        <w:ind w:left="0" w:hanging="284"/>
        <w:jc w:val="both"/>
        <w:rPr>
          <w:rFonts w:ascii="Times New Roman" w:hAnsi="Times New Roman" w:cs="Times New Roman"/>
          <w:sz w:val="24"/>
          <w:szCs w:val="24"/>
        </w:rPr>
      </w:pPr>
      <w:r>
        <w:rPr>
          <w:rFonts w:ascii="Times New Roman" w:hAnsi="Times New Roman" w:cs="Times New Roman"/>
          <w:sz w:val="24"/>
          <w:szCs w:val="24"/>
        </w:rPr>
        <w:t>Mendaftarkan hak tanggungan.</w:t>
      </w:r>
    </w:p>
    <w:p w:rsidR="00AA6F3E" w:rsidRDefault="00AA6F3E" w:rsidP="00AA6F3E">
      <w:pPr>
        <w:pStyle w:val="ListParagraph"/>
        <w:numPr>
          <w:ilvl w:val="0"/>
          <w:numId w:val="9"/>
        </w:numPr>
        <w:spacing w:line="480" w:lineRule="auto"/>
        <w:ind w:left="0" w:hanging="284"/>
        <w:jc w:val="both"/>
        <w:rPr>
          <w:rFonts w:ascii="Times New Roman" w:hAnsi="Times New Roman" w:cs="Times New Roman"/>
          <w:sz w:val="24"/>
          <w:szCs w:val="24"/>
        </w:rPr>
      </w:pPr>
      <w:r>
        <w:rPr>
          <w:rFonts w:ascii="Times New Roman" w:hAnsi="Times New Roman" w:cs="Times New Roman"/>
          <w:sz w:val="24"/>
          <w:szCs w:val="24"/>
        </w:rPr>
        <w:t>Memberikan pernyataan tertulis dan/ atau bukti atas pelunasan utang atau hapusnya piutang kepada debitur agar dapat dilakukan pencoretan (roya) terhadap hak tanggungan.</w:t>
      </w:r>
    </w:p>
    <w:p w:rsidR="00AA6F3E" w:rsidRDefault="00AA6F3E" w:rsidP="00AA6F3E">
      <w:pPr>
        <w:pStyle w:val="ListParagraph"/>
        <w:numPr>
          <w:ilvl w:val="0"/>
          <w:numId w:val="9"/>
        </w:numPr>
        <w:spacing w:line="480" w:lineRule="auto"/>
        <w:ind w:left="0" w:hanging="284"/>
        <w:jc w:val="both"/>
        <w:rPr>
          <w:rFonts w:ascii="Times New Roman" w:hAnsi="Times New Roman" w:cs="Times New Roman"/>
          <w:sz w:val="24"/>
          <w:szCs w:val="24"/>
        </w:rPr>
      </w:pPr>
      <w:r>
        <w:rPr>
          <w:rFonts w:ascii="Times New Roman" w:hAnsi="Times New Roman" w:cs="Times New Roman"/>
          <w:sz w:val="24"/>
          <w:szCs w:val="24"/>
        </w:rPr>
        <w:t>Menjamin bahwa jaminan hak tanggungan tidak akan disalahgunakan dan digunakan sesuai dengan perjanjian.</w:t>
      </w:r>
    </w:p>
    <w:p w:rsidR="00AA6F3E" w:rsidRDefault="00AA6F3E" w:rsidP="00AA6F3E">
      <w:pPr>
        <w:pStyle w:val="ListParagraph"/>
        <w:numPr>
          <w:ilvl w:val="0"/>
          <w:numId w:val="9"/>
        </w:numPr>
        <w:spacing w:line="480" w:lineRule="auto"/>
        <w:ind w:left="0" w:hanging="284"/>
        <w:jc w:val="both"/>
        <w:rPr>
          <w:rFonts w:ascii="Times New Roman" w:hAnsi="Times New Roman" w:cs="Times New Roman"/>
          <w:sz w:val="24"/>
          <w:szCs w:val="24"/>
        </w:rPr>
      </w:pPr>
      <w:r>
        <w:rPr>
          <w:rFonts w:ascii="Times New Roman" w:hAnsi="Times New Roman" w:cs="Times New Roman"/>
          <w:sz w:val="24"/>
          <w:szCs w:val="24"/>
        </w:rPr>
        <w:t>Mengembalikan sertipikat hak atas tanah dan Sertipikat Hak Tanggungan jika utang telah dilunasi.</w:t>
      </w:r>
    </w:p>
    <w:p w:rsidR="00AA6F3E" w:rsidRPr="00B85F4E" w:rsidRDefault="00AA6F3E" w:rsidP="00AA6F3E">
      <w:pPr>
        <w:pStyle w:val="ListParagraph"/>
        <w:numPr>
          <w:ilvl w:val="0"/>
          <w:numId w:val="13"/>
        </w:numPr>
        <w:spacing w:line="240" w:lineRule="auto"/>
        <w:ind w:left="0"/>
        <w:jc w:val="both"/>
        <w:rPr>
          <w:rFonts w:ascii="Times New Roman" w:hAnsi="Times New Roman" w:cs="Times New Roman"/>
          <w:sz w:val="24"/>
          <w:szCs w:val="24"/>
        </w:rPr>
      </w:pPr>
      <w:r w:rsidRPr="00B85F4E">
        <w:rPr>
          <w:rFonts w:ascii="Times New Roman" w:hAnsi="Times New Roman" w:cs="Times New Roman"/>
          <w:sz w:val="24"/>
          <w:szCs w:val="24"/>
        </w:rPr>
        <w:t>Eksekusi Objek Hak Tanggungan</w:t>
      </w:r>
    </w:p>
    <w:p w:rsidR="00AA6F3E" w:rsidRDefault="00AA6F3E" w:rsidP="00AA6F3E">
      <w:pPr>
        <w:spacing w:line="480" w:lineRule="auto"/>
        <w:ind w:firstLine="851"/>
        <w:jc w:val="both"/>
        <w:rPr>
          <w:rFonts w:ascii="Times New Roman" w:hAnsi="Times New Roman" w:cs="Times New Roman"/>
          <w:sz w:val="24"/>
          <w:szCs w:val="24"/>
        </w:rPr>
      </w:pPr>
      <w:r w:rsidRPr="00573416">
        <w:rPr>
          <w:rFonts w:ascii="Times New Roman" w:hAnsi="Times New Roman" w:cs="Times New Roman"/>
          <w:sz w:val="24"/>
          <w:szCs w:val="24"/>
        </w:rPr>
        <w:t>Munir Fuady</w:t>
      </w:r>
      <w:r>
        <w:rPr>
          <w:rFonts w:ascii="Times New Roman" w:hAnsi="Times New Roman" w:cs="Times New Roman"/>
          <w:sz w:val="24"/>
          <w:szCs w:val="24"/>
        </w:rPr>
        <w:t xml:space="preserve"> mengemukakan bahwa</w:t>
      </w:r>
      <w:r w:rsidRPr="00573416">
        <w:rPr>
          <w:rFonts w:ascii="Times New Roman" w:hAnsi="Times New Roman" w:cs="Times New Roman"/>
          <w:sz w:val="24"/>
          <w:szCs w:val="24"/>
        </w:rPr>
        <w:t xml:space="preserve"> proses eksekusi </w:t>
      </w:r>
      <w:r>
        <w:rPr>
          <w:rFonts w:ascii="Times New Roman" w:hAnsi="Times New Roman" w:cs="Times New Roman"/>
          <w:sz w:val="24"/>
          <w:szCs w:val="24"/>
        </w:rPr>
        <w:t>h</w:t>
      </w:r>
      <w:r w:rsidRPr="00573416">
        <w:rPr>
          <w:rFonts w:ascii="Times New Roman" w:hAnsi="Times New Roman" w:cs="Times New Roman"/>
          <w:sz w:val="24"/>
          <w:szCs w:val="24"/>
        </w:rPr>
        <w:t xml:space="preserve">ak </w:t>
      </w:r>
      <w:r>
        <w:rPr>
          <w:rFonts w:ascii="Times New Roman" w:hAnsi="Times New Roman" w:cs="Times New Roman"/>
          <w:sz w:val="24"/>
          <w:szCs w:val="24"/>
        </w:rPr>
        <w:t>t</w:t>
      </w:r>
      <w:r w:rsidRPr="00573416">
        <w:rPr>
          <w:rFonts w:ascii="Times New Roman" w:hAnsi="Times New Roman" w:cs="Times New Roman"/>
          <w:sz w:val="24"/>
          <w:szCs w:val="24"/>
        </w:rPr>
        <w:t xml:space="preserve">anggungan merupakan </w:t>
      </w:r>
      <w:r>
        <w:rPr>
          <w:rFonts w:ascii="Times New Roman" w:hAnsi="Times New Roman" w:cs="Times New Roman"/>
          <w:sz w:val="24"/>
          <w:szCs w:val="24"/>
        </w:rPr>
        <w:t xml:space="preserve">proses menjual benda yang </w:t>
      </w:r>
      <w:r w:rsidRPr="00573416">
        <w:rPr>
          <w:rFonts w:ascii="Times New Roman" w:hAnsi="Times New Roman" w:cs="Times New Roman"/>
          <w:sz w:val="24"/>
          <w:szCs w:val="24"/>
        </w:rPr>
        <w:t xml:space="preserve">merupakan objek </w:t>
      </w:r>
      <w:r>
        <w:rPr>
          <w:rFonts w:ascii="Times New Roman" w:hAnsi="Times New Roman" w:cs="Times New Roman"/>
          <w:sz w:val="24"/>
          <w:szCs w:val="24"/>
        </w:rPr>
        <w:t>h</w:t>
      </w:r>
      <w:r w:rsidRPr="00573416">
        <w:rPr>
          <w:rFonts w:ascii="Times New Roman" w:hAnsi="Times New Roman" w:cs="Times New Roman"/>
          <w:sz w:val="24"/>
          <w:szCs w:val="24"/>
        </w:rPr>
        <w:t xml:space="preserve">ak </w:t>
      </w:r>
      <w:r>
        <w:rPr>
          <w:rFonts w:ascii="Times New Roman" w:hAnsi="Times New Roman" w:cs="Times New Roman"/>
          <w:sz w:val="24"/>
          <w:szCs w:val="24"/>
        </w:rPr>
        <w:t>t</w:t>
      </w:r>
      <w:r w:rsidRPr="00573416">
        <w:rPr>
          <w:rFonts w:ascii="Times New Roman" w:hAnsi="Times New Roman" w:cs="Times New Roman"/>
          <w:sz w:val="24"/>
          <w:szCs w:val="24"/>
        </w:rPr>
        <w:t xml:space="preserve">anggungan ketika utang dari debitur pemberi </w:t>
      </w:r>
      <w:r>
        <w:rPr>
          <w:rFonts w:ascii="Times New Roman" w:hAnsi="Times New Roman" w:cs="Times New Roman"/>
          <w:sz w:val="24"/>
          <w:szCs w:val="24"/>
        </w:rPr>
        <w:t>h</w:t>
      </w:r>
      <w:r w:rsidRPr="00573416">
        <w:rPr>
          <w:rFonts w:ascii="Times New Roman" w:hAnsi="Times New Roman" w:cs="Times New Roman"/>
          <w:sz w:val="24"/>
          <w:szCs w:val="24"/>
        </w:rPr>
        <w:t xml:space="preserve">ak </w:t>
      </w:r>
      <w:r>
        <w:rPr>
          <w:rFonts w:ascii="Times New Roman" w:hAnsi="Times New Roman" w:cs="Times New Roman"/>
          <w:sz w:val="24"/>
          <w:szCs w:val="24"/>
        </w:rPr>
        <w:t>t</w:t>
      </w:r>
      <w:r w:rsidRPr="00573416">
        <w:rPr>
          <w:rFonts w:ascii="Times New Roman" w:hAnsi="Times New Roman" w:cs="Times New Roman"/>
          <w:sz w:val="24"/>
          <w:szCs w:val="24"/>
        </w:rPr>
        <w:t xml:space="preserve">anggungan  sudah tidak dibayar pada waktu jatuh </w:t>
      </w:r>
      <w:r w:rsidRPr="00573416">
        <w:rPr>
          <w:rFonts w:ascii="Times New Roman" w:hAnsi="Times New Roman" w:cs="Times New Roman"/>
          <w:sz w:val="24"/>
          <w:szCs w:val="24"/>
        </w:rPr>
        <w:lastRenderedPageBreak/>
        <w:t>tempo.</w:t>
      </w:r>
      <w:r>
        <w:rPr>
          <w:rStyle w:val="FootnoteReference"/>
          <w:rFonts w:ascii="Times New Roman" w:hAnsi="Times New Roman" w:cs="Times New Roman"/>
          <w:sz w:val="24"/>
          <w:szCs w:val="24"/>
        </w:rPr>
        <w:footnoteReference w:id="35"/>
      </w:r>
      <w:r w:rsidRPr="00573416">
        <w:rPr>
          <w:rFonts w:ascii="Times New Roman" w:hAnsi="Times New Roman" w:cs="Times New Roman"/>
          <w:sz w:val="24"/>
          <w:szCs w:val="24"/>
        </w:rPr>
        <w:t xml:space="preserve"> </w:t>
      </w:r>
      <w:r>
        <w:rPr>
          <w:rFonts w:ascii="Times New Roman" w:hAnsi="Times New Roman" w:cs="Times New Roman"/>
          <w:sz w:val="24"/>
          <w:szCs w:val="24"/>
        </w:rPr>
        <w:t>Pasal 20 UUHT mengatur bahwa apabila debitur cidera janji, objek hak tanggungan oleh kreditur pemegang hak tanggungan dijual melalui pelelangan umum menurut cara yang ditentukan dalam peraturan perundang-undangan yang berlaku dan kreditur pemegang hak tanggungan berhak mengambil seluruh atau sebagian dari hasilnya untuk pelunasan piutang yang dijamin dengan hak tanggungan tersebut.</w:t>
      </w:r>
    </w:p>
    <w:p w:rsidR="00AA6F3E" w:rsidRPr="00573416" w:rsidRDefault="00AA6F3E" w:rsidP="00AA6F3E">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Kemudahan dalam pelaksanaan eksekusi hak tanggungan dan diberikannya kepada kreditur pemegang hak tanggungan kedudukan istimewa dalam bentuk </w:t>
      </w:r>
      <w:r w:rsidRPr="002C70D2">
        <w:rPr>
          <w:rFonts w:ascii="Times New Roman" w:hAnsi="Times New Roman" w:cs="Times New Roman"/>
          <w:i/>
          <w:sz w:val="24"/>
          <w:szCs w:val="24"/>
        </w:rPr>
        <w:t>droit de preference</w:t>
      </w:r>
      <w:r>
        <w:rPr>
          <w:rFonts w:ascii="Times New Roman" w:hAnsi="Times New Roman" w:cs="Times New Roman"/>
          <w:sz w:val="24"/>
          <w:szCs w:val="24"/>
        </w:rPr>
        <w:t xml:space="preserve"> dan </w:t>
      </w:r>
      <w:r w:rsidRPr="002C70D2">
        <w:rPr>
          <w:rFonts w:ascii="Times New Roman" w:hAnsi="Times New Roman" w:cs="Times New Roman"/>
          <w:i/>
          <w:sz w:val="24"/>
          <w:szCs w:val="24"/>
        </w:rPr>
        <w:t>droit de suite</w:t>
      </w:r>
      <w:r>
        <w:rPr>
          <w:rFonts w:ascii="Times New Roman" w:hAnsi="Times New Roman" w:cs="Times New Roman"/>
          <w:sz w:val="24"/>
          <w:szCs w:val="24"/>
        </w:rPr>
        <w:t xml:space="preserve"> merupakan ciri hak tanggungan sebagai suatu lembaga jaminan atas tanah yang khas dan kuat.</w:t>
      </w:r>
      <w:r>
        <w:rPr>
          <w:rStyle w:val="FootnoteReference"/>
          <w:rFonts w:ascii="Times New Roman" w:hAnsi="Times New Roman" w:cs="Times New Roman"/>
          <w:sz w:val="24"/>
          <w:szCs w:val="24"/>
        </w:rPr>
        <w:footnoteReference w:id="36"/>
      </w:r>
      <w:r>
        <w:rPr>
          <w:rFonts w:ascii="Times New Roman" w:hAnsi="Times New Roman" w:cs="Times New Roman"/>
          <w:sz w:val="24"/>
          <w:szCs w:val="24"/>
        </w:rPr>
        <w:t xml:space="preserve"> UUHT telah memberikan tiga cara eksekusi manakala debitur cidera janji. Pertama, adalah melalui lembaga </w:t>
      </w:r>
      <w:r w:rsidRPr="001B31B3">
        <w:rPr>
          <w:rFonts w:ascii="Times New Roman" w:hAnsi="Times New Roman" w:cs="Times New Roman"/>
          <w:i/>
          <w:sz w:val="24"/>
          <w:szCs w:val="24"/>
        </w:rPr>
        <w:t>Parate Eksekusi</w:t>
      </w:r>
      <w:r>
        <w:rPr>
          <w:rFonts w:ascii="Times New Roman" w:hAnsi="Times New Roman" w:cs="Times New Roman"/>
          <w:sz w:val="24"/>
          <w:szCs w:val="24"/>
        </w:rPr>
        <w:t xml:space="preserve">, yang diatur dalam Pasal 20 UUHT. Acara </w:t>
      </w:r>
      <w:r w:rsidRPr="004E1555">
        <w:rPr>
          <w:rFonts w:ascii="Times New Roman" w:hAnsi="Times New Roman" w:cs="Times New Roman"/>
          <w:i/>
          <w:sz w:val="24"/>
          <w:szCs w:val="24"/>
        </w:rPr>
        <w:t xml:space="preserve">Parate </w:t>
      </w:r>
      <w:r>
        <w:rPr>
          <w:rFonts w:ascii="Times New Roman" w:hAnsi="Times New Roman" w:cs="Times New Roman"/>
          <w:i/>
          <w:sz w:val="24"/>
          <w:szCs w:val="24"/>
        </w:rPr>
        <w:t>Eksekusi</w:t>
      </w:r>
      <w:r>
        <w:rPr>
          <w:rFonts w:ascii="Times New Roman" w:hAnsi="Times New Roman" w:cs="Times New Roman"/>
          <w:sz w:val="24"/>
          <w:szCs w:val="24"/>
        </w:rPr>
        <w:t>, dilakukan dengan menunjukkan bukti bahwa debitur ingkar janji dalam memenuhi kewajibannya, maka diajukan permohonan eksekusi oleh kreditur pemegang hak tanggungan kepada Ketua Pengadilan Negeri, dengan menyerahkan Sertipikat Hak Tanggungan sebagai dasar hukumnya. Eksekusi akan dilaksanakan atas perintah dan dengan pimpinan Ketua Pengadilan Negeri melalui  pelelangan umum yang dilakukan oleh Kantor Lelang Negara.</w:t>
      </w:r>
      <w:r>
        <w:rPr>
          <w:rStyle w:val="FootnoteReference"/>
          <w:rFonts w:ascii="Times New Roman" w:hAnsi="Times New Roman" w:cs="Times New Roman"/>
          <w:sz w:val="24"/>
          <w:szCs w:val="24"/>
        </w:rPr>
        <w:footnoteReference w:id="37"/>
      </w:r>
    </w:p>
    <w:p w:rsidR="00AA6F3E" w:rsidRDefault="00AA6F3E" w:rsidP="00AA6F3E">
      <w:pPr>
        <w:pStyle w:val="ListParagraph"/>
        <w:spacing w:line="480" w:lineRule="auto"/>
        <w:ind w:left="0" w:firstLine="851"/>
        <w:jc w:val="both"/>
        <w:rPr>
          <w:rFonts w:ascii="Times New Roman" w:hAnsi="Times New Roman" w:cs="Times New Roman"/>
          <w:sz w:val="24"/>
          <w:szCs w:val="24"/>
        </w:rPr>
      </w:pPr>
      <w:r>
        <w:rPr>
          <w:rFonts w:ascii="Times New Roman" w:hAnsi="Times New Roman" w:cs="Times New Roman"/>
          <w:sz w:val="24"/>
          <w:szCs w:val="24"/>
        </w:rPr>
        <w:lastRenderedPageBreak/>
        <w:t xml:space="preserve">Kedua, melalui eksekusi berdasarkan Pasal 6 UUHT. Pelaksanaannya lebih mudah daripada </w:t>
      </w:r>
      <w:r w:rsidRPr="00CF3B44">
        <w:rPr>
          <w:rFonts w:ascii="Times New Roman" w:hAnsi="Times New Roman" w:cs="Times New Roman"/>
          <w:i/>
          <w:sz w:val="24"/>
          <w:szCs w:val="24"/>
        </w:rPr>
        <w:t xml:space="preserve">Parate </w:t>
      </w:r>
      <w:r>
        <w:rPr>
          <w:rFonts w:ascii="Times New Roman" w:hAnsi="Times New Roman" w:cs="Times New Roman"/>
          <w:i/>
          <w:sz w:val="24"/>
          <w:szCs w:val="24"/>
        </w:rPr>
        <w:t>Eksekusi</w:t>
      </w:r>
      <w:r>
        <w:rPr>
          <w:rFonts w:ascii="Times New Roman" w:hAnsi="Times New Roman" w:cs="Times New Roman"/>
          <w:sz w:val="24"/>
          <w:szCs w:val="24"/>
        </w:rPr>
        <w:t>, karena tidak diperlukan perintah Ketua Pengadilan Negeri untuk melakukan penjualan objek hak tanggungan yang bersangkutan melalui pelelangan umum. Kreditur pemegang hak tanggungan dapat langsung mengajukan permintaan kepada Kepala Kantor Lelang Negara untuk melakukan penjualan objek hak tanggungan.</w:t>
      </w:r>
    </w:p>
    <w:p w:rsidR="00AA6F3E" w:rsidRDefault="00AA6F3E" w:rsidP="00AA6F3E">
      <w:pPr>
        <w:pStyle w:val="ListParagraph"/>
        <w:spacing w:line="480" w:lineRule="auto"/>
        <w:ind w:left="0" w:firstLine="851"/>
        <w:jc w:val="both"/>
        <w:rPr>
          <w:rFonts w:ascii="Times New Roman" w:hAnsi="Times New Roman" w:cs="Times New Roman"/>
          <w:sz w:val="24"/>
          <w:szCs w:val="24"/>
        </w:rPr>
      </w:pPr>
      <w:r>
        <w:rPr>
          <w:rFonts w:ascii="Times New Roman" w:hAnsi="Times New Roman" w:cs="Times New Roman"/>
          <w:sz w:val="24"/>
          <w:szCs w:val="24"/>
        </w:rPr>
        <w:t>Proses penjualan objek hak tanggungan melalui pelelangan umum disebut sebagai Lelang Eksekusi dan dilaksanakan di Kantor Pelayanan Kekayaan Negara  (KPKNL) dengan dipimpin oleh Pejabat Lelang Kelas I. Lelang Eksekusi adalah lelang untuk melaksanakan putusan atau penetapan pengadilan, dokumen lain yang dipersamakan dengan itu, dan/ atau melaksanakan ketentuan dalam peraturan perundang-undangan.</w:t>
      </w:r>
      <w:r>
        <w:rPr>
          <w:rStyle w:val="FootnoteReference"/>
          <w:rFonts w:ascii="Times New Roman" w:hAnsi="Times New Roman" w:cs="Times New Roman"/>
          <w:sz w:val="24"/>
          <w:szCs w:val="24"/>
        </w:rPr>
        <w:footnoteReference w:id="38"/>
      </w:r>
      <w:r>
        <w:rPr>
          <w:rFonts w:ascii="Times New Roman" w:hAnsi="Times New Roman" w:cs="Times New Roman"/>
          <w:sz w:val="24"/>
          <w:szCs w:val="24"/>
        </w:rPr>
        <w:t xml:space="preserve"> Kantor Pelayanan Kekayaan Negara  (KPKNL) merupakan instansi vertikal Direktorat Jenderal Kekayaan Negara (DJKN) atau Kantor Pejabat Lelang Kelas II.</w:t>
      </w:r>
      <w:r>
        <w:rPr>
          <w:rStyle w:val="FootnoteReference"/>
          <w:rFonts w:ascii="Times New Roman" w:hAnsi="Times New Roman" w:cs="Times New Roman"/>
          <w:sz w:val="24"/>
          <w:szCs w:val="24"/>
        </w:rPr>
        <w:footnoteReference w:id="39"/>
      </w:r>
      <w:r>
        <w:rPr>
          <w:rFonts w:ascii="Times New Roman" w:hAnsi="Times New Roman" w:cs="Times New Roman"/>
          <w:sz w:val="24"/>
          <w:szCs w:val="24"/>
        </w:rPr>
        <w:t xml:space="preserve"> Pejabat Lelang merupakan terjemahan dari kata </w:t>
      </w:r>
      <w:r w:rsidRPr="00613AF7">
        <w:rPr>
          <w:rFonts w:ascii="Times New Roman" w:hAnsi="Times New Roman" w:cs="Times New Roman"/>
          <w:i/>
          <w:sz w:val="24"/>
          <w:szCs w:val="24"/>
        </w:rPr>
        <w:t>vendumeester</w:t>
      </w:r>
      <w:r>
        <w:rPr>
          <w:rFonts w:ascii="Times New Roman" w:hAnsi="Times New Roman" w:cs="Times New Roman"/>
          <w:sz w:val="24"/>
          <w:szCs w:val="24"/>
        </w:rPr>
        <w:t xml:space="preserve"> atau </w:t>
      </w:r>
      <w:r w:rsidRPr="00613AF7">
        <w:rPr>
          <w:rFonts w:ascii="Times New Roman" w:hAnsi="Times New Roman" w:cs="Times New Roman"/>
          <w:i/>
          <w:sz w:val="24"/>
          <w:szCs w:val="24"/>
        </w:rPr>
        <w:t>auctioneer</w:t>
      </w:r>
      <w:r>
        <w:rPr>
          <w:rFonts w:ascii="Times New Roman" w:hAnsi="Times New Roman" w:cs="Times New Roman"/>
          <w:sz w:val="24"/>
          <w:szCs w:val="24"/>
        </w:rPr>
        <w:t>, yang juga dapat diartikan sebagai “Juru Lelang”.</w:t>
      </w:r>
      <w:r>
        <w:rPr>
          <w:rStyle w:val="FootnoteReference"/>
          <w:rFonts w:ascii="Times New Roman" w:hAnsi="Times New Roman" w:cs="Times New Roman"/>
          <w:sz w:val="24"/>
          <w:szCs w:val="24"/>
        </w:rPr>
        <w:footnoteReference w:id="40"/>
      </w:r>
      <w:r>
        <w:rPr>
          <w:rFonts w:ascii="Times New Roman" w:hAnsi="Times New Roman" w:cs="Times New Roman"/>
          <w:sz w:val="24"/>
          <w:szCs w:val="24"/>
        </w:rPr>
        <w:t xml:space="preserve"> Pejabat Lelang Kelas I adalah pejabat pemerintah atau pegawai negeri sipil yang diangkat khusus sebagai Pejabat Lelang dan Kepala Kas Negara yang ditugaskan sebagai Pejabat Lelang (dihapus sejak tahun 1930).</w:t>
      </w:r>
      <w:r>
        <w:rPr>
          <w:rStyle w:val="FootnoteReference"/>
          <w:rFonts w:ascii="Times New Roman" w:hAnsi="Times New Roman" w:cs="Times New Roman"/>
          <w:sz w:val="24"/>
          <w:szCs w:val="24"/>
        </w:rPr>
        <w:footnoteReference w:id="41"/>
      </w:r>
    </w:p>
    <w:p w:rsidR="00AA6F3E" w:rsidRDefault="00AA6F3E" w:rsidP="00AA6F3E">
      <w:pPr>
        <w:pStyle w:val="ListParagraph"/>
        <w:spacing w:line="48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Ketiga, melalui penjualan di bawah tangan. Pada prinsipnya setiap eksekusi harus dilaksanakan melalui pelelangan umum, karena dengan demikian </w:t>
      </w:r>
      <w:r>
        <w:rPr>
          <w:rFonts w:ascii="Times New Roman" w:hAnsi="Times New Roman" w:cs="Times New Roman"/>
          <w:sz w:val="24"/>
          <w:szCs w:val="24"/>
        </w:rPr>
        <w:lastRenderedPageBreak/>
        <w:t xml:space="preserve">diharapkan dapat diperoleh harga tertinggi untuk objek hak tanggungan. Namun, apabila dalam keadaan tertentu pelelangan umum diperkirakan tidak akan menghasilkan harga tertinggi, atas kesepakatan pemberi dan pemegang hak tanggungan dan dengan terpenuhinya syarat-syarat yang disebutkan dalam Pasal 20 ayat (2) dan (3) UUHT, dimungkinkan eksekusi dilakukan dengan cara penjualan objek hak tanggungan oleh kreditur pemegang hak tanggungan secara di bawah tangan. Penjualan di bawah tangan dapat dilakukan apabila melalui pelelangan umum tidak dapat diperoleh harga tertinggi. </w:t>
      </w:r>
    </w:p>
    <w:p w:rsidR="00AA6F3E" w:rsidRDefault="00AA6F3E" w:rsidP="00AA6F3E">
      <w:pPr>
        <w:pStyle w:val="ListParagraph"/>
        <w:numPr>
          <w:ilvl w:val="0"/>
          <w:numId w:val="13"/>
        </w:numPr>
        <w:spacing w:line="480" w:lineRule="auto"/>
        <w:ind w:left="0"/>
        <w:jc w:val="both"/>
        <w:rPr>
          <w:rFonts w:ascii="Times New Roman" w:hAnsi="Times New Roman" w:cs="Times New Roman"/>
          <w:sz w:val="24"/>
          <w:szCs w:val="24"/>
        </w:rPr>
      </w:pPr>
      <w:r>
        <w:rPr>
          <w:rFonts w:ascii="Times New Roman" w:hAnsi="Times New Roman" w:cs="Times New Roman"/>
          <w:sz w:val="24"/>
          <w:szCs w:val="24"/>
        </w:rPr>
        <w:t>Hapusnya Hak Tanggungan</w:t>
      </w:r>
    </w:p>
    <w:p w:rsidR="00AA6F3E" w:rsidRPr="00BD4830" w:rsidRDefault="00AA6F3E" w:rsidP="00AA6F3E">
      <w:pPr>
        <w:pStyle w:val="ListParagraph"/>
        <w:spacing w:line="480" w:lineRule="auto"/>
        <w:ind w:left="0" w:firstLine="850"/>
        <w:jc w:val="both"/>
        <w:rPr>
          <w:rFonts w:ascii="Times New Roman" w:hAnsi="Times New Roman" w:cs="Times New Roman"/>
          <w:sz w:val="24"/>
          <w:szCs w:val="24"/>
        </w:rPr>
      </w:pPr>
      <w:r>
        <w:rPr>
          <w:rFonts w:ascii="Times New Roman" w:hAnsi="Times New Roman" w:cs="Times New Roman"/>
          <w:sz w:val="24"/>
          <w:szCs w:val="24"/>
        </w:rPr>
        <w:t xml:space="preserve">Hak tanggungan merupakan perjanjian yang keberadaannya tergantung kepada perjanjian pokok. UUHT tidak memberi penjelasan mengenai pembatalan hak tanggungan, namun hanya mengatur mengenai hapusnya hak tanggungan. </w:t>
      </w:r>
      <w:r w:rsidRPr="00BD4830">
        <w:rPr>
          <w:rFonts w:ascii="Times New Roman" w:hAnsi="Times New Roman" w:cs="Times New Roman"/>
          <w:sz w:val="24"/>
          <w:szCs w:val="24"/>
        </w:rPr>
        <w:t xml:space="preserve">Hapusnya </w:t>
      </w:r>
      <w:r>
        <w:rPr>
          <w:rFonts w:ascii="Times New Roman" w:hAnsi="Times New Roman" w:cs="Times New Roman"/>
          <w:sz w:val="24"/>
          <w:szCs w:val="24"/>
        </w:rPr>
        <w:t>h</w:t>
      </w:r>
      <w:r w:rsidRPr="00BD4830">
        <w:rPr>
          <w:rFonts w:ascii="Times New Roman" w:hAnsi="Times New Roman" w:cs="Times New Roman"/>
          <w:sz w:val="24"/>
          <w:szCs w:val="24"/>
        </w:rPr>
        <w:t xml:space="preserve">ak </w:t>
      </w:r>
      <w:r>
        <w:rPr>
          <w:rFonts w:ascii="Times New Roman" w:hAnsi="Times New Roman" w:cs="Times New Roman"/>
          <w:sz w:val="24"/>
          <w:szCs w:val="24"/>
        </w:rPr>
        <w:t>t</w:t>
      </w:r>
      <w:r w:rsidRPr="00BD4830">
        <w:rPr>
          <w:rFonts w:ascii="Times New Roman" w:hAnsi="Times New Roman" w:cs="Times New Roman"/>
          <w:sz w:val="24"/>
          <w:szCs w:val="24"/>
        </w:rPr>
        <w:t xml:space="preserve">anggungan diatur dalam </w:t>
      </w:r>
      <w:r>
        <w:rPr>
          <w:rFonts w:ascii="Times New Roman" w:hAnsi="Times New Roman" w:cs="Times New Roman"/>
          <w:sz w:val="24"/>
          <w:szCs w:val="24"/>
        </w:rPr>
        <w:t>P</w:t>
      </w:r>
      <w:r w:rsidRPr="00BD4830">
        <w:rPr>
          <w:rFonts w:ascii="Times New Roman" w:hAnsi="Times New Roman" w:cs="Times New Roman"/>
          <w:sz w:val="24"/>
          <w:szCs w:val="24"/>
        </w:rPr>
        <w:t xml:space="preserve">asal 18 </w:t>
      </w:r>
      <w:r>
        <w:rPr>
          <w:rFonts w:ascii="Times New Roman" w:hAnsi="Times New Roman" w:cs="Times New Roman"/>
          <w:sz w:val="24"/>
          <w:szCs w:val="24"/>
        </w:rPr>
        <w:t>UUHT</w:t>
      </w:r>
      <w:r w:rsidRPr="00BD4830">
        <w:rPr>
          <w:rFonts w:ascii="Times New Roman" w:hAnsi="Times New Roman" w:cs="Times New Roman"/>
          <w:sz w:val="24"/>
          <w:szCs w:val="24"/>
        </w:rPr>
        <w:t>, yaitu karena hal-hal sebagai berikut :</w:t>
      </w:r>
    </w:p>
    <w:p w:rsidR="00AA6F3E" w:rsidRPr="00BD4830" w:rsidRDefault="00AA6F3E" w:rsidP="00AA6F3E">
      <w:pPr>
        <w:pStyle w:val="ListParagraph"/>
        <w:numPr>
          <w:ilvl w:val="0"/>
          <w:numId w:val="3"/>
        </w:numPr>
        <w:spacing w:line="480" w:lineRule="auto"/>
        <w:ind w:left="426"/>
        <w:jc w:val="both"/>
        <w:rPr>
          <w:rFonts w:ascii="Times New Roman" w:hAnsi="Times New Roman" w:cs="Times New Roman"/>
          <w:sz w:val="24"/>
          <w:szCs w:val="24"/>
        </w:rPr>
      </w:pPr>
      <w:r w:rsidRPr="00BD4830">
        <w:rPr>
          <w:rFonts w:ascii="Times New Roman" w:hAnsi="Times New Roman" w:cs="Times New Roman"/>
          <w:sz w:val="24"/>
          <w:szCs w:val="24"/>
        </w:rPr>
        <w:t xml:space="preserve">Hapusnya utang yang dijamin dengan </w:t>
      </w:r>
      <w:r>
        <w:rPr>
          <w:rFonts w:ascii="Times New Roman" w:hAnsi="Times New Roman" w:cs="Times New Roman"/>
          <w:sz w:val="24"/>
          <w:szCs w:val="24"/>
        </w:rPr>
        <w:t>h</w:t>
      </w:r>
      <w:r w:rsidRPr="00BD4830">
        <w:rPr>
          <w:rFonts w:ascii="Times New Roman" w:hAnsi="Times New Roman" w:cs="Times New Roman"/>
          <w:sz w:val="24"/>
          <w:szCs w:val="24"/>
        </w:rPr>
        <w:t xml:space="preserve">ak </w:t>
      </w:r>
      <w:r>
        <w:rPr>
          <w:rFonts w:ascii="Times New Roman" w:hAnsi="Times New Roman" w:cs="Times New Roman"/>
          <w:sz w:val="24"/>
          <w:szCs w:val="24"/>
        </w:rPr>
        <w:t>t</w:t>
      </w:r>
      <w:r w:rsidRPr="00BD4830">
        <w:rPr>
          <w:rFonts w:ascii="Times New Roman" w:hAnsi="Times New Roman" w:cs="Times New Roman"/>
          <w:sz w:val="24"/>
          <w:szCs w:val="24"/>
        </w:rPr>
        <w:t>anggungan.</w:t>
      </w:r>
    </w:p>
    <w:p w:rsidR="00AA6F3E" w:rsidRPr="00BD4830" w:rsidRDefault="00AA6F3E" w:rsidP="00AA6F3E">
      <w:pPr>
        <w:pStyle w:val="ListParagraph"/>
        <w:numPr>
          <w:ilvl w:val="0"/>
          <w:numId w:val="3"/>
        </w:numPr>
        <w:spacing w:line="480" w:lineRule="auto"/>
        <w:ind w:left="426"/>
        <w:jc w:val="both"/>
        <w:rPr>
          <w:rFonts w:ascii="Times New Roman" w:hAnsi="Times New Roman" w:cs="Times New Roman"/>
          <w:sz w:val="24"/>
          <w:szCs w:val="24"/>
        </w:rPr>
      </w:pPr>
      <w:r w:rsidRPr="00BD4830">
        <w:rPr>
          <w:rFonts w:ascii="Times New Roman" w:hAnsi="Times New Roman" w:cs="Times New Roman"/>
          <w:sz w:val="24"/>
          <w:szCs w:val="24"/>
        </w:rPr>
        <w:t xml:space="preserve">Dilepaskannya </w:t>
      </w:r>
      <w:r>
        <w:rPr>
          <w:rFonts w:ascii="Times New Roman" w:hAnsi="Times New Roman" w:cs="Times New Roman"/>
          <w:sz w:val="24"/>
          <w:szCs w:val="24"/>
        </w:rPr>
        <w:t>h</w:t>
      </w:r>
      <w:r w:rsidRPr="00BD4830">
        <w:rPr>
          <w:rFonts w:ascii="Times New Roman" w:hAnsi="Times New Roman" w:cs="Times New Roman"/>
          <w:sz w:val="24"/>
          <w:szCs w:val="24"/>
        </w:rPr>
        <w:t xml:space="preserve">ak </w:t>
      </w:r>
      <w:r>
        <w:rPr>
          <w:rFonts w:ascii="Times New Roman" w:hAnsi="Times New Roman" w:cs="Times New Roman"/>
          <w:sz w:val="24"/>
          <w:szCs w:val="24"/>
        </w:rPr>
        <w:t>t</w:t>
      </w:r>
      <w:r w:rsidRPr="00BD4830">
        <w:rPr>
          <w:rFonts w:ascii="Times New Roman" w:hAnsi="Times New Roman" w:cs="Times New Roman"/>
          <w:sz w:val="24"/>
          <w:szCs w:val="24"/>
        </w:rPr>
        <w:t xml:space="preserve">anggungan oleh pemegang </w:t>
      </w:r>
      <w:r>
        <w:rPr>
          <w:rFonts w:ascii="Times New Roman" w:hAnsi="Times New Roman" w:cs="Times New Roman"/>
          <w:sz w:val="24"/>
          <w:szCs w:val="24"/>
        </w:rPr>
        <w:t>h</w:t>
      </w:r>
      <w:r w:rsidRPr="00BD4830">
        <w:rPr>
          <w:rFonts w:ascii="Times New Roman" w:hAnsi="Times New Roman" w:cs="Times New Roman"/>
          <w:sz w:val="24"/>
          <w:szCs w:val="24"/>
        </w:rPr>
        <w:t xml:space="preserve">ak </w:t>
      </w:r>
      <w:r>
        <w:rPr>
          <w:rFonts w:ascii="Times New Roman" w:hAnsi="Times New Roman" w:cs="Times New Roman"/>
          <w:sz w:val="24"/>
          <w:szCs w:val="24"/>
        </w:rPr>
        <w:t>t</w:t>
      </w:r>
      <w:r w:rsidRPr="00BD4830">
        <w:rPr>
          <w:rFonts w:ascii="Times New Roman" w:hAnsi="Times New Roman" w:cs="Times New Roman"/>
          <w:sz w:val="24"/>
          <w:szCs w:val="24"/>
        </w:rPr>
        <w:t>anggungan.</w:t>
      </w:r>
    </w:p>
    <w:p w:rsidR="00AA6F3E" w:rsidRPr="00BD4830" w:rsidRDefault="00AA6F3E" w:rsidP="00AA6F3E">
      <w:pPr>
        <w:pStyle w:val="ListParagraph"/>
        <w:numPr>
          <w:ilvl w:val="0"/>
          <w:numId w:val="3"/>
        </w:numPr>
        <w:spacing w:line="480" w:lineRule="auto"/>
        <w:ind w:left="426"/>
        <w:jc w:val="both"/>
        <w:rPr>
          <w:rFonts w:ascii="Times New Roman" w:hAnsi="Times New Roman" w:cs="Times New Roman"/>
          <w:sz w:val="24"/>
          <w:szCs w:val="24"/>
        </w:rPr>
      </w:pPr>
      <w:r w:rsidRPr="00BD4830">
        <w:rPr>
          <w:rFonts w:ascii="Times New Roman" w:hAnsi="Times New Roman" w:cs="Times New Roman"/>
          <w:sz w:val="24"/>
          <w:szCs w:val="24"/>
        </w:rPr>
        <w:t xml:space="preserve">Pembersihan </w:t>
      </w:r>
      <w:r>
        <w:rPr>
          <w:rFonts w:ascii="Times New Roman" w:hAnsi="Times New Roman" w:cs="Times New Roman"/>
          <w:sz w:val="24"/>
          <w:szCs w:val="24"/>
        </w:rPr>
        <w:t>h</w:t>
      </w:r>
      <w:r w:rsidRPr="00BD4830">
        <w:rPr>
          <w:rFonts w:ascii="Times New Roman" w:hAnsi="Times New Roman" w:cs="Times New Roman"/>
          <w:sz w:val="24"/>
          <w:szCs w:val="24"/>
        </w:rPr>
        <w:t xml:space="preserve">ak </w:t>
      </w:r>
      <w:r>
        <w:rPr>
          <w:rFonts w:ascii="Times New Roman" w:hAnsi="Times New Roman" w:cs="Times New Roman"/>
          <w:sz w:val="24"/>
          <w:szCs w:val="24"/>
        </w:rPr>
        <w:t>t</w:t>
      </w:r>
      <w:r w:rsidRPr="00BD4830">
        <w:rPr>
          <w:rFonts w:ascii="Times New Roman" w:hAnsi="Times New Roman" w:cs="Times New Roman"/>
          <w:sz w:val="24"/>
          <w:szCs w:val="24"/>
        </w:rPr>
        <w:t>anggungan berdasarkan penetapan peringkat oleh Ketua Pengadilan Negeri.</w:t>
      </w:r>
    </w:p>
    <w:p w:rsidR="00AA6F3E" w:rsidRDefault="00AA6F3E" w:rsidP="00AA6F3E">
      <w:pPr>
        <w:pStyle w:val="ListParagraph"/>
        <w:numPr>
          <w:ilvl w:val="0"/>
          <w:numId w:val="3"/>
        </w:numPr>
        <w:spacing w:line="480" w:lineRule="auto"/>
        <w:ind w:left="426"/>
        <w:jc w:val="both"/>
        <w:rPr>
          <w:rFonts w:ascii="Times New Roman" w:hAnsi="Times New Roman" w:cs="Times New Roman"/>
          <w:sz w:val="24"/>
          <w:szCs w:val="24"/>
        </w:rPr>
      </w:pPr>
      <w:r w:rsidRPr="00BD4830">
        <w:rPr>
          <w:rFonts w:ascii="Times New Roman" w:hAnsi="Times New Roman" w:cs="Times New Roman"/>
          <w:sz w:val="24"/>
          <w:szCs w:val="24"/>
        </w:rPr>
        <w:t xml:space="preserve">Hapusnya hak atas tanah yang dibebani </w:t>
      </w:r>
      <w:r>
        <w:rPr>
          <w:rFonts w:ascii="Times New Roman" w:hAnsi="Times New Roman" w:cs="Times New Roman"/>
          <w:sz w:val="24"/>
          <w:szCs w:val="24"/>
        </w:rPr>
        <w:t>h</w:t>
      </w:r>
      <w:r w:rsidRPr="00BD4830">
        <w:rPr>
          <w:rFonts w:ascii="Times New Roman" w:hAnsi="Times New Roman" w:cs="Times New Roman"/>
          <w:sz w:val="24"/>
          <w:szCs w:val="24"/>
        </w:rPr>
        <w:t xml:space="preserve">ak </w:t>
      </w:r>
      <w:r>
        <w:rPr>
          <w:rFonts w:ascii="Times New Roman" w:hAnsi="Times New Roman" w:cs="Times New Roman"/>
          <w:sz w:val="24"/>
          <w:szCs w:val="24"/>
        </w:rPr>
        <w:t>t</w:t>
      </w:r>
      <w:r w:rsidRPr="00BD4830">
        <w:rPr>
          <w:rFonts w:ascii="Times New Roman" w:hAnsi="Times New Roman" w:cs="Times New Roman"/>
          <w:sz w:val="24"/>
          <w:szCs w:val="24"/>
        </w:rPr>
        <w:t>anggungan.</w:t>
      </w:r>
    </w:p>
    <w:p w:rsidR="00AA6F3E" w:rsidRDefault="00AA6F3E" w:rsidP="00AA6F3E">
      <w:pPr>
        <w:pStyle w:val="ListParagraph"/>
        <w:spacing w:line="48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Pasal 11 ayat (1) UUHT mengatur tentang hal-hal yang sifatnya wajib untuk sahnya APHT, sedangkan dalam penjelasannya disebutkan bahwa tidak dicantumkannya secara lengkap hal-hal yang disebut pada pasal tersebut menyebabkan APHT batal demi hukum. Hal ini bertujuan untuk memenuhi asas </w:t>
      </w:r>
      <w:r>
        <w:rPr>
          <w:rFonts w:ascii="Times New Roman" w:hAnsi="Times New Roman" w:cs="Times New Roman"/>
          <w:sz w:val="24"/>
          <w:szCs w:val="24"/>
        </w:rPr>
        <w:lastRenderedPageBreak/>
        <w:t xml:space="preserve">spesialitas hak tanggungan, baik mengenai subjek, objek, maupun utang yang dijamin. </w:t>
      </w:r>
    </w:p>
    <w:p w:rsidR="00AA6F3E" w:rsidRPr="0005082E" w:rsidRDefault="00AA6F3E" w:rsidP="00AA6F3E">
      <w:pPr>
        <w:pStyle w:val="ListParagraph"/>
        <w:numPr>
          <w:ilvl w:val="3"/>
          <w:numId w:val="1"/>
        </w:numPr>
        <w:spacing w:line="480" w:lineRule="auto"/>
        <w:ind w:left="0"/>
        <w:jc w:val="both"/>
        <w:rPr>
          <w:rFonts w:ascii="Times New Roman" w:hAnsi="Times New Roman" w:cs="Times New Roman"/>
          <w:b/>
          <w:sz w:val="24"/>
          <w:szCs w:val="24"/>
        </w:rPr>
      </w:pPr>
      <w:r w:rsidRPr="0005082E">
        <w:rPr>
          <w:rFonts w:ascii="Times New Roman" w:hAnsi="Times New Roman" w:cs="Times New Roman"/>
          <w:b/>
          <w:sz w:val="24"/>
          <w:szCs w:val="24"/>
        </w:rPr>
        <w:t>Wanprestasi dan Perbuatan Melawan Hukum dalam Perjanjian Pembebanan Hak Tanggungan</w:t>
      </w:r>
    </w:p>
    <w:p w:rsidR="00AA6F3E" w:rsidRDefault="00AA6F3E" w:rsidP="00AA6F3E">
      <w:pPr>
        <w:pStyle w:val="ListParagraph"/>
        <w:spacing w:line="480" w:lineRule="auto"/>
        <w:ind w:left="0" w:firstLine="851"/>
        <w:jc w:val="both"/>
        <w:rPr>
          <w:rFonts w:ascii="Times New Roman" w:hAnsi="Times New Roman" w:cs="Times New Roman"/>
          <w:sz w:val="24"/>
          <w:szCs w:val="24"/>
        </w:rPr>
      </w:pPr>
      <w:r>
        <w:rPr>
          <w:rFonts w:ascii="Times New Roman" w:hAnsi="Times New Roman" w:cs="Times New Roman"/>
          <w:sz w:val="24"/>
          <w:szCs w:val="24"/>
        </w:rPr>
        <w:t>Sistem hukum perdata membedakan perikatan menjadi dua macam, yaitu yang bersumber dari perjanjian dan perikatan yang bersumber dari undang-undang. Perikatan yang bersumber dari undang-undang meliputi dua hal, yaitu perikatan yang lahir dari undang-undang saja dan perikatan yang lahir dari undang-undang karena perbuatan manusia. Pasal 1353 KUHPerdata menentukan bahwa perikatan yang dilahirkan karena undang-undang sebagai akibat dari perbuatan manusia, terbit atas perbuatan manusia halal (</w:t>
      </w:r>
      <w:r w:rsidRPr="00B07E50">
        <w:rPr>
          <w:rFonts w:ascii="Times New Roman" w:hAnsi="Times New Roman" w:cs="Times New Roman"/>
          <w:i/>
          <w:sz w:val="24"/>
          <w:szCs w:val="24"/>
        </w:rPr>
        <w:t>rechtmatige daad</w:t>
      </w:r>
      <w:r>
        <w:rPr>
          <w:rFonts w:ascii="Times New Roman" w:hAnsi="Times New Roman" w:cs="Times New Roman"/>
          <w:sz w:val="24"/>
          <w:szCs w:val="24"/>
        </w:rPr>
        <w:t>) atau dari perbuatan melawan hukum (</w:t>
      </w:r>
      <w:r w:rsidRPr="00B07E50">
        <w:rPr>
          <w:rFonts w:ascii="Times New Roman" w:hAnsi="Times New Roman" w:cs="Times New Roman"/>
          <w:i/>
          <w:sz w:val="24"/>
          <w:szCs w:val="24"/>
        </w:rPr>
        <w:t>onrechtmatige daad</w:t>
      </w:r>
      <w:r>
        <w:rPr>
          <w:rFonts w:ascii="Times New Roman" w:hAnsi="Times New Roman" w:cs="Times New Roman"/>
          <w:sz w:val="24"/>
          <w:szCs w:val="24"/>
        </w:rPr>
        <w:t xml:space="preserve">). </w:t>
      </w:r>
    </w:p>
    <w:p w:rsidR="00AA6F3E" w:rsidRDefault="00AA6F3E" w:rsidP="00AA6F3E">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Perjanjian merupakan salah satu sumber lahirnya perikatan diantara para pihak. Pasal 1338 KUHPer menentukan bahwa semua perjanjian yang dibuat secara sah berlaku sebagai undang-undang bagi mereka yang membuatnya. Kata “secara sah” mengandung pengertian telah memenuhi semua syarat-syarat untuk sahnya suatu perjanjian, sebagaimana ditentukan oleh hukum. Sedangkan frase “berlaku sebagai undang-undang” berarti mengikat para pihak yang menutup perjanjian, seperti undang-undang juga mengikat orang terhadap siapa undang-undang berlaku.</w:t>
      </w:r>
      <w:r>
        <w:rPr>
          <w:rStyle w:val="FootnoteReference"/>
          <w:rFonts w:ascii="Times New Roman" w:hAnsi="Times New Roman" w:cs="Times New Roman"/>
          <w:sz w:val="24"/>
          <w:szCs w:val="24"/>
        </w:rPr>
        <w:footnoteReference w:id="42"/>
      </w:r>
    </w:p>
    <w:p w:rsidR="00AA6F3E" w:rsidRDefault="00AA6F3E" w:rsidP="00AA6F3E">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lastRenderedPageBreak/>
        <w:t xml:space="preserve">Suatu perjanjian agar dapat melahirkan perikatan diantara para pihak harus sesuai dengan ketentuan Pasal 1320 KUHPer mengenai syarat sahnya perjanjian. </w:t>
      </w:r>
      <w:r w:rsidRPr="007C21D6">
        <w:rPr>
          <w:rFonts w:ascii="Times New Roman" w:hAnsi="Times New Roman" w:cs="Times New Roman"/>
          <w:sz w:val="24"/>
          <w:szCs w:val="24"/>
        </w:rPr>
        <w:t>Pasal 1320 menyatakan bahwa “untuk sahnya persetujuan-persetujuan diperlukan empat syarat yakni sepakat mereka yang mengikatkan diri, kecakapan untuk membuat suatu perikatan, suatu hal tertentu, dan suatu sebab yang halal”.</w:t>
      </w:r>
    </w:p>
    <w:p w:rsidR="00AA6F3E" w:rsidRDefault="00AA6F3E" w:rsidP="00AA6F3E">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Syarat perjanjian yang menyangkut kesepakatan dan kecakapan disebut sebagai syarat subjektif, sedangkan yang berkenaan dengan hal tertentu dan sebab yang halal disebut syarat objektif. Masing-masing syarat tersebut membawa konsekuensi sendiri-sendiri. Apabila syarat subjektif perjanjian cacat atau tidak dipenuhi, maka perjanjian itu dapat dimintakan pembatalan (</w:t>
      </w:r>
      <w:r w:rsidRPr="00B23EF0">
        <w:rPr>
          <w:rFonts w:ascii="Times New Roman" w:hAnsi="Times New Roman" w:cs="Times New Roman"/>
          <w:i/>
          <w:sz w:val="24"/>
          <w:szCs w:val="24"/>
        </w:rPr>
        <w:t>cancelling</w:t>
      </w:r>
      <w:r>
        <w:rPr>
          <w:rFonts w:ascii="Times New Roman" w:hAnsi="Times New Roman" w:cs="Times New Roman"/>
          <w:sz w:val="24"/>
          <w:szCs w:val="24"/>
        </w:rPr>
        <w:t>) oleh salah satu pihak ke pengadilan. Bila syarat objektif tidak terpenuhi atau cacat, maka perjanjian menjadi batal demi hukum karenanya (</w:t>
      </w:r>
      <w:r w:rsidRPr="00B23EF0">
        <w:rPr>
          <w:rFonts w:ascii="Times New Roman" w:hAnsi="Times New Roman" w:cs="Times New Roman"/>
          <w:i/>
          <w:sz w:val="24"/>
          <w:szCs w:val="24"/>
        </w:rPr>
        <w:t>null and void</w:t>
      </w:r>
      <w:r>
        <w:rPr>
          <w:rFonts w:ascii="Times New Roman" w:hAnsi="Times New Roman" w:cs="Times New Roman"/>
          <w:sz w:val="24"/>
          <w:szCs w:val="24"/>
        </w:rPr>
        <w:t>). Dalam hal ini secara hukum sejak semula tidak ada suatu perjanjian di antara mereka. Konsekuensi dari batal demi hukum ini tidak dapatlah pihak yang satu menuntut pihak yang lain di depan hakim, karena jabatannya wajib menyatakan bahwa tidak pernah ada suatu perjanjian atau perikatan.</w:t>
      </w:r>
      <w:r>
        <w:rPr>
          <w:rStyle w:val="FootnoteReference"/>
          <w:rFonts w:ascii="Times New Roman" w:hAnsi="Times New Roman" w:cs="Times New Roman"/>
          <w:sz w:val="24"/>
          <w:szCs w:val="24"/>
        </w:rPr>
        <w:footnoteReference w:id="43"/>
      </w:r>
    </w:p>
    <w:p w:rsidR="00AA6F3E" w:rsidRDefault="00AA6F3E" w:rsidP="00AA6F3E">
      <w:pPr>
        <w:spacing w:line="480" w:lineRule="auto"/>
        <w:ind w:firstLine="851"/>
        <w:jc w:val="both"/>
        <w:rPr>
          <w:rFonts w:ascii="Times New Roman" w:hAnsi="Times New Roman" w:cs="Times New Roman"/>
          <w:sz w:val="24"/>
          <w:szCs w:val="24"/>
        </w:rPr>
      </w:pPr>
      <w:r w:rsidRPr="00BD4830">
        <w:rPr>
          <w:rFonts w:ascii="Times New Roman" w:hAnsi="Times New Roman" w:cs="Times New Roman"/>
          <w:sz w:val="24"/>
          <w:szCs w:val="24"/>
        </w:rPr>
        <w:t>Setiap perikatan yang lahir dari perjanjian memuat seperangkat hak dan kewajiban yang harus dilaksanakan atau ditepati oleh para pihak yang dinamakan dengan pre</w:t>
      </w:r>
      <w:r>
        <w:rPr>
          <w:rFonts w:ascii="Times New Roman" w:hAnsi="Times New Roman" w:cs="Times New Roman"/>
          <w:sz w:val="24"/>
          <w:szCs w:val="24"/>
        </w:rPr>
        <w:t xml:space="preserve">stasi. </w:t>
      </w:r>
      <w:r w:rsidRPr="007C21D6">
        <w:rPr>
          <w:rFonts w:ascii="Times New Roman" w:hAnsi="Times New Roman" w:cs="Times New Roman"/>
          <w:sz w:val="24"/>
          <w:szCs w:val="24"/>
        </w:rPr>
        <w:t>Ketentuan Pasal 1234 KUHPerdata menyatakan bahwa, tiap-tiap perikatan adalah untuk memberikan sesuatu, untuk berbuat sesuatu, atau untuk tidak berbuat sesuatu.</w:t>
      </w:r>
      <w:r>
        <w:rPr>
          <w:rFonts w:ascii="Times New Roman" w:hAnsi="Times New Roman" w:cs="Times New Roman"/>
          <w:sz w:val="24"/>
          <w:szCs w:val="24"/>
        </w:rPr>
        <w:t xml:space="preserve"> </w:t>
      </w:r>
      <w:r w:rsidRPr="00BD4830">
        <w:rPr>
          <w:rFonts w:ascii="Times New Roman" w:hAnsi="Times New Roman" w:cs="Times New Roman"/>
          <w:sz w:val="24"/>
          <w:szCs w:val="24"/>
        </w:rPr>
        <w:t>Prof. Herowati</w:t>
      </w:r>
      <w:r>
        <w:rPr>
          <w:rFonts w:ascii="Times New Roman" w:hAnsi="Times New Roman" w:cs="Times New Roman"/>
          <w:sz w:val="24"/>
          <w:szCs w:val="24"/>
        </w:rPr>
        <w:t xml:space="preserve"> mengemukakan bahwa</w:t>
      </w:r>
      <w:r w:rsidRPr="00BD4830">
        <w:rPr>
          <w:rFonts w:ascii="Times New Roman" w:hAnsi="Times New Roman" w:cs="Times New Roman"/>
          <w:sz w:val="24"/>
          <w:szCs w:val="24"/>
        </w:rPr>
        <w:t xml:space="preserve"> BW sangat </w:t>
      </w:r>
      <w:r w:rsidRPr="00BD4830">
        <w:rPr>
          <w:rFonts w:ascii="Times New Roman" w:hAnsi="Times New Roman" w:cs="Times New Roman"/>
          <w:sz w:val="24"/>
          <w:szCs w:val="24"/>
        </w:rPr>
        <w:lastRenderedPageBreak/>
        <w:t>menekankan pada pemenuhan perikatan, yang dikelompokkan menjadi 3 (tiga) macam, yaitu dalam bentuk kewajiban untuk memberikan sesuatu, melakukan sesuatu, dan atau untuk tidak melakukan sesuatu. Pentingnya penentuan melakukan kewajiban yang harus dipenuhi oleh pihak yang berkewajiban. Kewajiban untuk memberikan sesuatu, melakukan sesuatu  dan atau untuk tidak melakukan sesuatu  tersebut disebut dengan prestasi. Prestasi untuk melaksanakan  kewajiban tersebut di atas memiliki 2 (dua) unsur penting. Pertama, berhubungan dengan persoalan tanggung jawab  hukum atas pelaksanaan prestasi tersebut oleh pihak yang berkewajiban. Kedua, berkaitan dengan tanggung jawab pemenuhan kewajiban dari harta kekayaan pihak yang berkewajiban tersebut, tanpa memperhatikan siapa yang berkewajiban untuk memenuhi kewajiban tersebut. Sebaliknya kalau debitur tidak memenuhi prestasi, maka dikenal dengan wanprestasi.</w:t>
      </w:r>
      <w:r w:rsidRPr="00BD4830">
        <w:rPr>
          <w:rStyle w:val="FootnoteReference"/>
          <w:rFonts w:ascii="Times New Roman" w:hAnsi="Times New Roman" w:cs="Times New Roman"/>
          <w:sz w:val="24"/>
          <w:szCs w:val="24"/>
        </w:rPr>
        <w:footnoteReference w:id="44"/>
      </w:r>
    </w:p>
    <w:p w:rsidR="00AA6F3E" w:rsidRDefault="00AA6F3E" w:rsidP="00AA6F3E">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Pada umumnya hak dan kewajiban yang lahir dari perikatan dipenuhi oleh pihak-pihak baik debitur maupun kreditur. Akan tetapi dalam praktik kadang-kadang debitur tidak mematuhi apa yang menjadi kewajibannya dan inilah yang disebut dengan “wanprestasi”. Perkataan wanprestasi berasal dari bahasa Belanda yang berarti “prestasi buruk”.</w:t>
      </w:r>
      <w:r>
        <w:rPr>
          <w:rStyle w:val="FootnoteReference"/>
          <w:rFonts w:ascii="Times New Roman" w:hAnsi="Times New Roman" w:cs="Times New Roman"/>
          <w:sz w:val="24"/>
          <w:szCs w:val="24"/>
        </w:rPr>
        <w:footnoteReference w:id="45"/>
      </w:r>
      <w:r>
        <w:rPr>
          <w:rFonts w:ascii="Times New Roman" w:hAnsi="Times New Roman" w:cs="Times New Roman"/>
          <w:sz w:val="24"/>
          <w:szCs w:val="24"/>
        </w:rPr>
        <w:t xml:space="preserve"> Selain itu, perkataan wanprestasi sering juga dipadankan pada kata lalai atau alpa, ingkar janji, atau melanggar perjanjian, bila saja debitur melakukan atau berbuat sesuatu yang tidak boleh dilakukan.</w:t>
      </w:r>
      <w:r>
        <w:rPr>
          <w:rStyle w:val="FootnoteReference"/>
          <w:rFonts w:ascii="Times New Roman" w:hAnsi="Times New Roman" w:cs="Times New Roman"/>
          <w:sz w:val="24"/>
          <w:szCs w:val="24"/>
        </w:rPr>
        <w:footnoteReference w:id="46"/>
      </w:r>
    </w:p>
    <w:p w:rsidR="00AA6F3E" w:rsidRDefault="00AA6F3E" w:rsidP="00AA6F3E">
      <w:pPr>
        <w:spacing w:line="480" w:lineRule="auto"/>
        <w:ind w:firstLine="851"/>
        <w:jc w:val="both"/>
        <w:rPr>
          <w:rFonts w:ascii="Times New Roman" w:hAnsi="Times New Roman" w:cs="Times New Roman"/>
          <w:sz w:val="24"/>
          <w:szCs w:val="24"/>
        </w:rPr>
      </w:pPr>
      <w:r w:rsidRPr="00BD4830">
        <w:rPr>
          <w:rFonts w:ascii="Times New Roman" w:hAnsi="Times New Roman" w:cs="Times New Roman"/>
          <w:sz w:val="24"/>
          <w:szCs w:val="24"/>
        </w:rPr>
        <w:lastRenderedPageBreak/>
        <w:t>Pada perjanjian dengan syarat konkuren (</w:t>
      </w:r>
      <w:r w:rsidRPr="00BD4830">
        <w:rPr>
          <w:rFonts w:ascii="Times New Roman" w:hAnsi="Times New Roman" w:cs="Times New Roman"/>
          <w:i/>
          <w:sz w:val="24"/>
          <w:szCs w:val="24"/>
        </w:rPr>
        <w:t>condition concurent</w:t>
      </w:r>
      <w:r w:rsidRPr="00BD4830">
        <w:rPr>
          <w:rFonts w:ascii="Times New Roman" w:hAnsi="Times New Roman" w:cs="Times New Roman"/>
          <w:sz w:val="24"/>
          <w:szCs w:val="24"/>
        </w:rPr>
        <w:t>), terbit atau tidaknya atau ada tidaknya akibat hukum dari perjanjian tersebut sangat bergantung pada pelaksanaan prestasi oleh salah satu pihak dalam perjanjian.</w:t>
      </w:r>
      <w:r w:rsidRPr="00BD4830">
        <w:rPr>
          <w:rStyle w:val="FootnoteReference"/>
          <w:rFonts w:ascii="Times New Roman" w:hAnsi="Times New Roman" w:cs="Times New Roman"/>
          <w:sz w:val="24"/>
          <w:szCs w:val="24"/>
        </w:rPr>
        <w:footnoteReference w:id="47"/>
      </w:r>
      <w:r w:rsidRPr="00BD4830">
        <w:rPr>
          <w:rFonts w:ascii="Times New Roman" w:hAnsi="Times New Roman" w:cs="Times New Roman"/>
          <w:sz w:val="24"/>
          <w:szCs w:val="24"/>
        </w:rPr>
        <w:t xml:space="preserve"> Pelaksanaan ini tidaklah harus merupakan prestasi yang diwajibkan melainkan dapat hanya berupa suatu  penawaran (dengan itikad baik) yang menunjukkan itikad atau kehendak untuk melaksanakan prestasi yang diwajibkan (</w:t>
      </w:r>
      <w:r w:rsidRPr="00BD4830">
        <w:rPr>
          <w:rFonts w:ascii="Times New Roman" w:hAnsi="Times New Roman" w:cs="Times New Roman"/>
          <w:i/>
          <w:sz w:val="24"/>
          <w:szCs w:val="24"/>
        </w:rPr>
        <w:t>tender to perform</w:t>
      </w:r>
      <w:r w:rsidRPr="00BD4830">
        <w:rPr>
          <w:rFonts w:ascii="Times New Roman" w:hAnsi="Times New Roman" w:cs="Times New Roman"/>
          <w:sz w:val="24"/>
          <w:szCs w:val="24"/>
        </w:rPr>
        <w:t xml:space="preserve"> atau </w:t>
      </w:r>
      <w:r w:rsidRPr="00BD4830">
        <w:rPr>
          <w:rFonts w:ascii="Times New Roman" w:hAnsi="Times New Roman" w:cs="Times New Roman"/>
          <w:i/>
          <w:sz w:val="24"/>
          <w:szCs w:val="24"/>
        </w:rPr>
        <w:t>offer to perform</w:t>
      </w:r>
      <w:r w:rsidRPr="00BD4830">
        <w:rPr>
          <w:rFonts w:ascii="Times New Roman" w:hAnsi="Times New Roman" w:cs="Times New Roman"/>
          <w:sz w:val="24"/>
          <w:szCs w:val="24"/>
        </w:rPr>
        <w:t>) pada saat mana prestasi tersebut wajib dilaksanakan. Dalam hal salah satu pihak telah melakukan penawaran tersebut secara tegas, maka hak-hak dan kewajiban dalam perjanjian tersebut telah lahir, sehingga ketiadaan pemenuhan atau kegagalan oleh pihak lainnya dalam perjanjian ini untuk melaksanakan kontra prestasi merupakan suatu pelanggaran terhadap perjanjian (</w:t>
      </w:r>
      <w:r w:rsidRPr="00BD4830">
        <w:rPr>
          <w:rFonts w:ascii="Times New Roman" w:hAnsi="Times New Roman" w:cs="Times New Roman"/>
          <w:i/>
          <w:sz w:val="24"/>
          <w:szCs w:val="24"/>
        </w:rPr>
        <w:t>wanprestasi</w:t>
      </w:r>
      <w:r w:rsidRPr="00BD4830">
        <w:rPr>
          <w:rFonts w:ascii="Times New Roman" w:hAnsi="Times New Roman" w:cs="Times New Roman"/>
          <w:sz w:val="24"/>
          <w:szCs w:val="24"/>
        </w:rPr>
        <w:t xml:space="preserve"> atau </w:t>
      </w:r>
      <w:r w:rsidRPr="00BD4830">
        <w:rPr>
          <w:rFonts w:ascii="Times New Roman" w:hAnsi="Times New Roman" w:cs="Times New Roman"/>
          <w:i/>
          <w:sz w:val="24"/>
          <w:szCs w:val="24"/>
        </w:rPr>
        <w:t>breach of contract</w:t>
      </w:r>
      <w:r w:rsidRPr="00BD4830">
        <w:rPr>
          <w:rFonts w:ascii="Times New Roman" w:hAnsi="Times New Roman" w:cs="Times New Roman"/>
          <w:sz w:val="24"/>
          <w:szCs w:val="24"/>
        </w:rPr>
        <w:t>).</w:t>
      </w:r>
      <w:r w:rsidRPr="00BD4830">
        <w:rPr>
          <w:rStyle w:val="FootnoteReference"/>
          <w:rFonts w:ascii="Times New Roman" w:hAnsi="Times New Roman" w:cs="Times New Roman"/>
          <w:sz w:val="24"/>
          <w:szCs w:val="24"/>
        </w:rPr>
        <w:footnoteReference w:id="48"/>
      </w:r>
    </w:p>
    <w:p w:rsidR="00AA6F3E" w:rsidRPr="00BD4830" w:rsidRDefault="00AA6F3E" w:rsidP="00AA6F3E">
      <w:pPr>
        <w:pStyle w:val="ListParagraph"/>
        <w:spacing w:line="480" w:lineRule="auto"/>
        <w:ind w:left="0" w:firstLine="851"/>
        <w:jc w:val="both"/>
        <w:rPr>
          <w:rFonts w:ascii="Times New Roman" w:hAnsi="Times New Roman" w:cs="Times New Roman"/>
          <w:sz w:val="24"/>
          <w:szCs w:val="24"/>
        </w:rPr>
      </w:pPr>
      <w:r>
        <w:rPr>
          <w:rFonts w:ascii="Times New Roman" w:hAnsi="Times New Roman" w:cs="Times New Roman"/>
          <w:sz w:val="24"/>
          <w:szCs w:val="24"/>
        </w:rPr>
        <w:t>Prof. Subekti</w:t>
      </w:r>
      <w:r w:rsidRPr="00BD4830">
        <w:rPr>
          <w:rFonts w:ascii="Times New Roman" w:hAnsi="Times New Roman" w:cs="Times New Roman"/>
          <w:sz w:val="24"/>
          <w:szCs w:val="24"/>
        </w:rPr>
        <w:t xml:space="preserve"> </w:t>
      </w:r>
      <w:r>
        <w:rPr>
          <w:rFonts w:ascii="Times New Roman" w:hAnsi="Times New Roman" w:cs="Times New Roman"/>
          <w:sz w:val="24"/>
          <w:szCs w:val="24"/>
        </w:rPr>
        <w:t xml:space="preserve">membedakan </w:t>
      </w:r>
      <w:r w:rsidRPr="00BD4830">
        <w:rPr>
          <w:rFonts w:ascii="Times New Roman" w:hAnsi="Times New Roman" w:cs="Times New Roman"/>
          <w:sz w:val="24"/>
          <w:szCs w:val="24"/>
        </w:rPr>
        <w:t>tiga alasan pembelaan yang dapat digunakan oleh pihak yang wanprestasi, yaitu :</w:t>
      </w:r>
      <w:r w:rsidRPr="00BD4830">
        <w:rPr>
          <w:rStyle w:val="FootnoteReference"/>
          <w:rFonts w:ascii="Times New Roman" w:hAnsi="Times New Roman" w:cs="Times New Roman"/>
          <w:sz w:val="24"/>
          <w:szCs w:val="24"/>
        </w:rPr>
        <w:footnoteReference w:id="49"/>
      </w:r>
    </w:p>
    <w:p w:rsidR="00AA6F3E" w:rsidRPr="00BD4830" w:rsidRDefault="00AA6F3E" w:rsidP="00AA6F3E">
      <w:pPr>
        <w:pStyle w:val="ListParagraph"/>
        <w:numPr>
          <w:ilvl w:val="0"/>
          <w:numId w:val="10"/>
        </w:numPr>
        <w:spacing w:line="480" w:lineRule="auto"/>
        <w:ind w:left="0" w:hanging="284"/>
        <w:jc w:val="both"/>
        <w:rPr>
          <w:rFonts w:ascii="Times New Roman" w:hAnsi="Times New Roman" w:cs="Times New Roman"/>
          <w:sz w:val="24"/>
          <w:szCs w:val="24"/>
        </w:rPr>
      </w:pPr>
      <w:r w:rsidRPr="00BD4830">
        <w:rPr>
          <w:rFonts w:ascii="Times New Roman" w:hAnsi="Times New Roman" w:cs="Times New Roman"/>
          <w:sz w:val="24"/>
          <w:szCs w:val="24"/>
        </w:rPr>
        <w:t>Adanya keadaan memaksa (</w:t>
      </w:r>
      <w:r w:rsidRPr="00BD4830">
        <w:rPr>
          <w:rFonts w:ascii="Times New Roman" w:hAnsi="Times New Roman" w:cs="Times New Roman"/>
          <w:i/>
          <w:sz w:val="24"/>
          <w:szCs w:val="24"/>
        </w:rPr>
        <w:t>force majeur</w:t>
      </w:r>
      <w:r w:rsidRPr="00BD4830">
        <w:rPr>
          <w:rFonts w:ascii="Times New Roman" w:hAnsi="Times New Roman" w:cs="Times New Roman"/>
          <w:sz w:val="24"/>
          <w:szCs w:val="24"/>
        </w:rPr>
        <w:t>), yaitu suatu keadaan yang terjadi di luar kemampuan manusia untuk menduga atau menanganinya, sehingga pelaksanaan dari perjanjian atau perikatan tersebut menjadi suatu hal yang ‘mustahil’ ataupun jika dapat dilaksanakan, maka  pelaksanaannya akan menerbitkan kerugian atau pengorbanan yang demikian besarnya dari pihak debitur.</w:t>
      </w:r>
    </w:p>
    <w:p w:rsidR="00AA6F3E" w:rsidRPr="00BD4830" w:rsidRDefault="00AA6F3E" w:rsidP="00AA6F3E">
      <w:pPr>
        <w:pStyle w:val="ListParagraph"/>
        <w:numPr>
          <w:ilvl w:val="0"/>
          <w:numId w:val="10"/>
        </w:numPr>
        <w:spacing w:line="480" w:lineRule="auto"/>
        <w:ind w:left="0" w:hanging="284"/>
        <w:jc w:val="both"/>
        <w:rPr>
          <w:rFonts w:ascii="Times New Roman" w:hAnsi="Times New Roman" w:cs="Times New Roman"/>
          <w:sz w:val="24"/>
          <w:szCs w:val="24"/>
        </w:rPr>
      </w:pPr>
      <w:r w:rsidRPr="00BD4830">
        <w:rPr>
          <w:rFonts w:ascii="Times New Roman" w:hAnsi="Times New Roman" w:cs="Times New Roman"/>
          <w:sz w:val="24"/>
          <w:szCs w:val="24"/>
        </w:rPr>
        <w:lastRenderedPageBreak/>
        <w:t>Bahwa kreditur sendiri juga belum sepenuhnya melunasi seluruh kewajibannya kepada debitur (</w:t>
      </w:r>
      <w:r w:rsidRPr="00BD4830">
        <w:rPr>
          <w:rFonts w:ascii="Times New Roman" w:hAnsi="Times New Roman" w:cs="Times New Roman"/>
          <w:i/>
          <w:sz w:val="24"/>
          <w:szCs w:val="24"/>
        </w:rPr>
        <w:t>exceptio non adempleti contractus</w:t>
      </w:r>
      <w:r w:rsidRPr="00BD4830">
        <w:rPr>
          <w:rFonts w:ascii="Times New Roman" w:hAnsi="Times New Roman" w:cs="Times New Roman"/>
          <w:sz w:val="24"/>
          <w:szCs w:val="24"/>
        </w:rPr>
        <w:t>).</w:t>
      </w:r>
    </w:p>
    <w:p w:rsidR="00AA6F3E" w:rsidRDefault="00AA6F3E" w:rsidP="00AA6F3E">
      <w:pPr>
        <w:pStyle w:val="ListParagraph"/>
        <w:numPr>
          <w:ilvl w:val="0"/>
          <w:numId w:val="10"/>
        </w:numPr>
        <w:spacing w:line="480" w:lineRule="auto"/>
        <w:ind w:left="0" w:hanging="284"/>
        <w:jc w:val="both"/>
        <w:rPr>
          <w:rFonts w:ascii="Times New Roman" w:hAnsi="Times New Roman" w:cs="Times New Roman"/>
          <w:sz w:val="24"/>
          <w:szCs w:val="24"/>
        </w:rPr>
      </w:pPr>
      <w:r w:rsidRPr="00BD4830">
        <w:rPr>
          <w:rFonts w:ascii="Times New Roman" w:hAnsi="Times New Roman" w:cs="Times New Roman"/>
          <w:sz w:val="24"/>
          <w:szCs w:val="24"/>
        </w:rPr>
        <w:t>Bahwa kreditur telah melepaskan  haknya untuk meminta pelaksanaan prestasi tersebut dari debitur (</w:t>
      </w:r>
      <w:r w:rsidRPr="00BD4830">
        <w:rPr>
          <w:rFonts w:ascii="Times New Roman" w:hAnsi="Times New Roman" w:cs="Times New Roman"/>
          <w:i/>
          <w:sz w:val="24"/>
          <w:szCs w:val="24"/>
        </w:rPr>
        <w:t>rechtverwerking</w:t>
      </w:r>
      <w:r w:rsidRPr="00BD4830">
        <w:rPr>
          <w:rFonts w:ascii="Times New Roman" w:hAnsi="Times New Roman" w:cs="Times New Roman"/>
          <w:sz w:val="24"/>
          <w:szCs w:val="24"/>
        </w:rPr>
        <w:t>).</w:t>
      </w:r>
    </w:p>
    <w:p w:rsidR="00AA6F3E" w:rsidRDefault="00AA6F3E" w:rsidP="00AA6F3E">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Tindakan wanprestasi oleh salah satu pihak dalam perjanjian utang-piutang dengan objek hak atas tanah merupakan sesuatu yang sering ditemui. Debitur yang telah memperoleh dana dari kreditur tidak seluruhnya dapat mengembalikannya dengan baik atau tepat pada waktu yang telah diperjanjikan. Pada kenyataannya selalu ada sebagian nasabah yang karena sesuatu sebab tidak dapat mengembalikan dananya kepada kreditur. Sebagai akibatnya nasabah tidak dapat melakukan prestasinya, yaitu membayar lunas utangnya atau sering disebut sebagai kredit macet. </w:t>
      </w:r>
    </w:p>
    <w:p w:rsidR="00AA6F3E" w:rsidRDefault="00AA6F3E" w:rsidP="00AA6F3E">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Gatot Suparmono menentukan bahwa jika dihubungkan dengan kredit macet, maka terdapat tiga macam perbuatan yang dapat digolongkan sebagai tindakan wanprestasi, yaitu sebagai berikut :</w:t>
      </w:r>
      <w:r>
        <w:rPr>
          <w:rStyle w:val="FootnoteReference"/>
          <w:rFonts w:ascii="Times New Roman" w:hAnsi="Times New Roman" w:cs="Times New Roman"/>
          <w:sz w:val="24"/>
          <w:szCs w:val="24"/>
        </w:rPr>
        <w:footnoteReference w:id="50"/>
      </w:r>
    </w:p>
    <w:p w:rsidR="00AA6F3E" w:rsidRPr="00501846" w:rsidRDefault="00AA6F3E" w:rsidP="00AA6F3E">
      <w:pPr>
        <w:pStyle w:val="ListParagraph"/>
        <w:numPr>
          <w:ilvl w:val="0"/>
          <w:numId w:val="11"/>
        </w:numPr>
        <w:spacing w:line="480" w:lineRule="auto"/>
        <w:ind w:left="0" w:hanging="284"/>
        <w:jc w:val="both"/>
        <w:rPr>
          <w:rFonts w:ascii="Times New Roman" w:hAnsi="Times New Roman" w:cs="Times New Roman"/>
          <w:sz w:val="24"/>
          <w:szCs w:val="24"/>
        </w:rPr>
      </w:pPr>
      <w:r w:rsidRPr="00501846">
        <w:rPr>
          <w:rFonts w:ascii="Times New Roman" w:hAnsi="Times New Roman" w:cs="Times New Roman"/>
          <w:sz w:val="24"/>
          <w:szCs w:val="24"/>
        </w:rPr>
        <w:t>Nasabah sama sekali tidak dapat membayar angsuran kredit (beserta bunganya).</w:t>
      </w:r>
    </w:p>
    <w:p w:rsidR="00AA6F3E" w:rsidRPr="00501846" w:rsidRDefault="00AA6F3E" w:rsidP="00AA6F3E">
      <w:pPr>
        <w:pStyle w:val="ListParagraph"/>
        <w:numPr>
          <w:ilvl w:val="0"/>
          <w:numId w:val="11"/>
        </w:numPr>
        <w:spacing w:line="480" w:lineRule="auto"/>
        <w:ind w:left="0" w:hanging="284"/>
        <w:jc w:val="both"/>
        <w:rPr>
          <w:rFonts w:ascii="Times New Roman" w:hAnsi="Times New Roman" w:cs="Times New Roman"/>
          <w:sz w:val="24"/>
          <w:szCs w:val="24"/>
        </w:rPr>
      </w:pPr>
      <w:r w:rsidRPr="00501846">
        <w:rPr>
          <w:rFonts w:ascii="Times New Roman" w:hAnsi="Times New Roman" w:cs="Times New Roman"/>
          <w:sz w:val="24"/>
          <w:szCs w:val="24"/>
        </w:rPr>
        <w:t>Nasabah membayar sebagian angsuran kredit (beserta bunganya). Pembayaran angsuran kredit tidak dipersoalkan apakah nasabah telah membayar sebagian besar atau sebagian kecil angsuran.</w:t>
      </w:r>
    </w:p>
    <w:p w:rsidR="00AA6F3E" w:rsidRPr="00501846" w:rsidRDefault="00AA6F3E" w:rsidP="00AA6F3E">
      <w:pPr>
        <w:pStyle w:val="ListParagraph"/>
        <w:numPr>
          <w:ilvl w:val="0"/>
          <w:numId w:val="11"/>
        </w:numPr>
        <w:spacing w:line="480" w:lineRule="auto"/>
        <w:ind w:left="0" w:hanging="284"/>
        <w:jc w:val="both"/>
        <w:rPr>
          <w:rFonts w:ascii="Times New Roman" w:hAnsi="Times New Roman" w:cs="Times New Roman"/>
          <w:sz w:val="24"/>
          <w:szCs w:val="24"/>
        </w:rPr>
      </w:pPr>
      <w:r w:rsidRPr="00501846">
        <w:rPr>
          <w:rFonts w:ascii="Times New Roman" w:hAnsi="Times New Roman" w:cs="Times New Roman"/>
          <w:sz w:val="24"/>
          <w:szCs w:val="24"/>
        </w:rPr>
        <w:t xml:space="preserve">Nasabah membayar lunas kredit (beserta bunganya) setelah jangka waktu yang diperjanjikan berakhir. Hal ini tidak termasuk nasabah membayar lunas setelah </w:t>
      </w:r>
      <w:r w:rsidRPr="00501846">
        <w:rPr>
          <w:rFonts w:ascii="Times New Roman" w:hAnsi="Times New Roman" w:cs="Times New Roman"/>
          <w:sz w:val="24"/>
          <w:szCs w:val="24"/>
        </w:rPr>
        <w:lastRenderedPageBreak/>
        <w:t xml:space="preserve">perpanjangan jangka waktu kredit yang telah disetujui bank atas permohonan nasabah, karena telah terjadi perubahan perjanjian yang disepakati bersama. </w:t>
      </w:r>
    </w:p>
    <w:p w:rsidR="00AA6F3E" w:rsidRDefault="00AA6F3E" w:rsidP="00AA6F3E">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Meskipun nasabah atau debitur telah dinyatakan wanprestasi atau bahkan telah masuk kualifikasi kredit macet, debitur tetap diwajibkan untuk melaksanakan prestasinya yaitu membayar lunas utang beserta dengan bunganya. Sesuai dengan pengertian dari kredit macet, dapat digambarkan bahwa debitur sulit diharapkan untuk memenuhi kewajibannya dengan sukarela. Di lain pihak, bank tidak mempunyai upaya dapat memaksa secara langsung kepada debitur untuk melunasi utangnya. Hal ini disebabkan karena tindakan pemaksaan seperti mengambil harta benda nasabah dan kemudiaan menjualnya termasuk sebagai perbuatan melanggar hukum dan dapat dipidana karena termasuk kejahatan.</w:t>
      </w:r>
      <w:r>
        <w:rPr>
          <w:rStyle w:val="FootnoteReference"/>
          <w:rFonts w:ascii="Times New Roman" w:hAnsi="Times New Roman" w:cs="Times New Roman"/>
          <w:sz w:val="24"/>
          <w:szCs w:val="24"/>
        </w:rPr>
        <w:footnoteReference w:id="51"/>
      </w:r>
    </w:p>
    <w:p w:rsidR="00AA6F3E" w:rsidRDefault="00AA6F3E" w:rsidP="00AA6F3E">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Kasmir menyatakan bahwa setiap pemberian fasilitas kredit selalu mengandung resiko kemacetan. Akibatnya kredit yang tidak dapat ditagih tersebut akan menimbulkan kerugian bagi bank.</w:t>
      </w:r>
      <w:r>
        <w:rPr>
          <w:rStyle w:val="FootnoteReference"/>
          <w:rFonts w:ascii="Times New Roman" w:hAnsi="Times New Roman" w:cs="Times New Roman"/>
          <w:sz w:val="24"/>
          <w:szCs w:val="24"/>
        </w:rPr>
        <w:footnoteReference w:id="52"/>
      </w:r>
      <w:r>
        <w:rPr>
          <w:rFonts w:ascii="Times New Roman" w:hAnsi="Times New Roman" w:cs="Times New Roman"/>
          <w:sz w:val="24"/>
          <w:szCs w:val="24"/>
        </w:rPr>
        <w:t xml:space="preserve"> Kemacetan suatu kredit  disebabkan oleh dua unsur, yaitu dari pihak perbankan  (internal) dan pihak nasabah (eksternal). Faktor internal, ditengarai oleh sebab dari pihak analis bank yang  kurang teliti, sehingga tidak dapat memprediksi kemungkinan  yang dapat terjadi dalam rentang waktu pemberian kredit. Selain itu, kolusi dari pihak analis kredit  dengan debitur  dalam pemberian kredit, sehingga analisa kredit dilakukan secara subjektif. Faktor eksternal  berasal dari nasabah debitur, yaitu adanya unsur kesengajaan atau nasabah secara sengaja tidak melakukan kewajibannya </w:t>
      </w:r>
      <w:r>
        <w:rPr>
          <w:rFonts w:ascii="Times New Roman" w:hAnsi="Times New Roman" w:cs="Times New Roman"/>
          <w:sz w:val="24"/>
          <w:szCs w:val="24"/>
        </w:rPr>
        <w:lastRenderedPageBreak/>
        <w:t>membayar utangnya dan unsur tidak sengaja. Unsur tidak sengaja mengandung maksud bahwa nasabah memiliki kemauan untuk membayar namun tidak mampu membayar.</w:t>
      </w:r>
      <w:r>
        <w:rPr>
          <w:rStyle w:val="FootnoteReference"/>
          <w:rFonts w:ascii="Times New Roman" w:hAnsi="Times New Roman" w:cs="Times New Roman"/>
          <w:sz w:val="24"/>
          <w:szCs w:val="24"/>
        </w:rPr>
        <w:footnoteReference w:id="53"/>
      </w:r>
    </w:p>
    <w:p w:rsidR="00AA6F3E" w:rsidRDefault="00AA6F3E" w:rsidP="00AA6F3E">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Pihak kreditur atau bank perlu melakukan penyelamatan atas kredit macet, sehingga tidak menimbulkan kerugian. Tindakan penyelamatan kredit dilakukan dengan cara </w:t>
      </w:r>
      <w:r w:rsidRPr="00FE14DB">
        <w:rPr>
          <w:rFonts w:ascii="Times New Roman" w:hAnsi="Times New Roman" w:cs="Times New Roman"/>
          <w:i/>
          <w:sz w:val="24"/>
          <w:szCs w:val="24"/>
        </w:rPr>
        <w:t>rescheduling</w:t>
      </w:r>
      <w:r>
        <w:rPr>
          <w:rFonts w:ascii="Times New Roman" w:hAnsi="Times New Roman" w:cs="Times New Roman"/>
          <w:sz w:val="24"/>
          <w:szCs w:val="24"/>
        </w:rPr>
        <w:t xml:space="preserve">, </w:t>
      </w:r>
      <w:r w:rsidRPr="00FE14DB">
        <w:rPr>
          <w:rFonts w:ascii="Times New Roman" w:hAnsi="Times New Roman" w:cs="Times New Roman"/>
          <w:i/>
          <w:sz w:val="24"/>
          <w:szCs w:val="24"/>
        </w:rPr>
        <w:t>reconditioning</w:t>
      </w:r>
      <w:r>
        <w:rPr>
          <w:rFonts w:ascii="Times New Roman" w:hAnsi="Times New Roman" w:cs="Times New Roman"/>
          <w:sz w:val="24"/>
          <w:szCs w:val="24"/>
        </w:rPr>
        <w:t xml:space="preserve">, </w:t>
      </w:r>
      <w:r w:rsidRPr="00FE14DB">
        <w:rPr>
          <w:rFonts w:ascii="Times New Roman" w:hAnsi="Times New Roman" w:cs="Times New Roman"/>
          <w:i/>
          <w:sz w:val="24"/>
          <w:szCs w:val="24"/>
        </w:rPr>
        <w:t>restructuring</w:t>
      </w:r>
      <w:r>
        <w:rPr>
          <w:rFonts w:ascii="Times New Roman" w:hAnsi="Times New Roman" w:cs="Times New Roman"/>
          <w:sz w:val="24"/>
          <w:szCs w:val="24"/>
        </w:rPr>
        <w:t xml:space="preserve">, kombinasi dan tindakan penyitaan jaminan. </w:t>
      </w:r>
      <w:r w:rsidRPr="00FE14DB">
        <w:rPr>
          <w:rFonts w:ascii="Times New Roman" w:hAnsi="Times New Roman" w:cs="Times New Roman"/>
          <w:i/>
          <w:sz w:val="24"/>
          <w:szCs w:val="24"/>
        </w:rPr>
        <w:t>Rescheduling</w:t>
      </w:r>
      <w:r>
        <w:rPr>
          <w:rFonts w:ascii="Times New Roman" w:hAnsi="Times New Roman" w:cs="Times New Roman"/>
          <w:sz w:val="24"/>
          <w:szCs w:val="24"/>
        </w:rPr>
        <w:t xml:space="preserve"> merupakan suatu tindakan yang diambil dengan cara memperpanjang jangka waktu kredit atau jangka waktu angsuran. </w:t>
      </w:r>
      <w:r w:rsidRPr="00FE14DB">
        <w:rPr>
          <w:rFonts w:ascii="Times New Roman" w:hAnsi="Times New Roman" w:cs="Times New Roman"/>
          <w:i/>
          <w:sz w:val="24"/>
          <w:szCs w:val="24"/>
        </w:rPr>
        <w:t>Reconditioning</w:t>
      </w:r>
      <w:r>
        <w:rPr>
          <w:rFonts w:ascii="Times New Roman" w:hAnsi="Times New Roman" w:cs="Times New Roman"/>
          <w:i/>
          <w:sz w:val="24"/>
          <w:szCs w:val="24"/>
        </w:rPr>
        <w:t xml:space="preserve"> </w:t>
      </w:r>
      <w:r>
        <w:rPr>
          <w:rFonts w:ascii="Times New Roman" w:hAnsi="Times New Roman" w:cs="Times New Roman"/>
          <w:sz w:val="24"/>
          <w:szCs w:val="24"/>
        </w:rPr>
        <w:t xml:space="preserve"> mengandung maksud bahwa bank mengubah berbagai persyaratan yang ada, seperti kapitalisasi bunga, penundaan pembayaran bunga sampai waktu tertentu, penurunan suku bunga, dan pembebasan bunga. </w:t>
      </w:r>
      <w:r w:rsidRPr="00FE14DB">
        <w:rPr>
          <w:rFonts w:ascii="Times New Roman" w:hAnsi="Times New Roman" w:cs="Times New Roman"/>
          <w:i/>
          <w:sz w:val="24"/>
          <w:szCs w:val="24"/>
        </w:rPr>
        <w:t>Restructuring</w:t>
      </w:r>
      <w:r>
        <w:rPr>
          <w:rFonts w:ascii="Times New Roman" w:hAnsi="Times New Roman" w:cs="Times New Roman"/>
          <w:i/>
          <w:sz w:val="24"/>
          <w:szCs w:val="24"/>
        </w:rPr>
        <w:t xml:space="preserve"> </w:t>
      </w:r>
      <w:r>
        <w:rPr>
          <w:rFonts w:ascii="Times New Roman" w:hAnsi="Times New Roman" w:cs="Times New Roman"/>
          <w:sz w:val="24"/>
          <w:szCs w:val="24"/>
        </w:rPr>
        <w:t xml:space="preserve"> merupakan tindakan bank kepada nasabah dengan cara menambah modal nasabah dengan pertimbangan bahwa nasabah membutuhkan tambahan dana dan usaha yang dibiayai masih layak. Kombinasi merupakan tindakan penyelamatan kredit yang menggabungkan r</w:t>
      </w:r>
      <w:r w:rsidRPr="00FE14DB">
        <w:rPr>
          <w:rFonts w:ascii="Times New Roman" w:hAnsi="Times New Roman" w:cs="Times New Roman"/>
          <w:i/>
          <w:sz w:val="24"/>
          <w:szCs w:val="24"/>
        </w:rPr>
        <w:t>escheduling</w:t>
      </w:r>
      <w:r>
        <w:rPr>
          <w:rFonts w:ascii="Times New Roman" w:hAnsi="Times New Roman" w:cs="Times New Roman"/>
          <w:i/>
          <w:sz w:val="24"/>
          <w:szCs w:val="24"/>
        </w:rPr>
        <w:t xml:space="preserve">, </w:t>
      </w:r>
      <w:r>
        <w:rPr>
          <w:rFonts w:ascii="Times New Roman" w:hAnsi="Times New Roman" w:cs="Times New Roman"/>
          <w:sz w:val="24"/>
          <w:szCs w:val="24"/>
        </w:rPr>
        <w:t xml:space="preserve"> r</w:t>
      </w:r>
      <w:r w:rsidRPr="00FE14DB">
        <w:rPr>
          <w:rFonts w:ascii="Times New Roman" w:hAnsi="Times New Roman" w:cs="Times New Roman"/>
          <w:i/>
          <w:sz w:val="24"/>
          <w:szCs w:val="24"/>
        </w:rPr>
        <w:t>econditioning</w:t>
      </w:r>
      <w:r>
        <w:rPr>
          <w:rFonts w:ascii="Times New Roman" w:hAnsi="Times New Roman" w:cs="Times New Roman"/>
          <w:i/>
          <w:sz w:val="24"/>
          <w:szCs w:val="24"/>
        </w:rPr>
        <w:t xml:space="preserve"> </w:t>
      </w:r>
      <w:r>
        <w:rPr>
          <w:rFonts w:ascii="Times New Roman" w:hAnsi="Times New Roman" w:cs="Times New Roman"/>
          <w:sz w:val="24"/>
          <w:szCs w:val="24"/>
        </w:rPr>
        <w:t xml:space="preserve"> dan </w:t>
      </w:r>
      <w:r w:rsidRPr="00FE14DB">
        <w:rPr>
          <w:rFonts w:ascii="Times New Roman" w:hAnsi="Times New Roman" w:cs="Times New Roman"/>
          <w:i/>
          <w:sz w:val="24"/>
          <w:szCs w:val="24"/>
        </w:rPr>
        <w:t>restructuring</w:t>
      </w:r>
      <w:r>
        <w:rPr>
          <w:rFonts w:ascii="Times New Roman" w:hAnsi="Times New Roman" w:cs="Times New Roman"/>
          <w:i/>
          <w:sz w:val="24"/>
          <w:szCs w:val="24"/>
        </w:rPr>
        <w:t xml:space="preserve">. </w:t>
      </w:r>
      <w:r>
        <w:rPr>
          <w:rFonts w:ascii="Times New Roman" w:hAnsi="Times New Roman" w:cs="Times New Roman"/>
          <w:sz w:val="24"/>
          <w:szCs w:val="24"/>
        </w:rPr>
        <w:t>Penyitaan jaminan merupakan jalan terakhir yang dilakukan apabila nasabah sudah benar-benar tidak punya itikad baik ataupun sudah tidak mampu lagi membayar semua utang-utangnya.</w:t>
      </w:r>
      <w:r>
        <w:rPr>
          <w:rStyle w:val="FootnoteReference"/>
          <w:rFonts w:ascii="Times New Roman" w:hAnsi="Times New Roman" w:cs="Times New Roman"/>
          <w:sz w:val="24"/>
          <w:szCs w:val="24"/>
        </w:rPr>
        <w:footnoteReference w:id="54"/>
      </w:r>
      <w:r>
        <w:rPr>
          <w:rFonts w:ascii="Times New Roman" w:hAnsi="Times New Roman" w:cs="Times New Roman"/>
          <w:sz w:val="24"/>
          <w:szCs w:val="24"/>
        </w:rPr>
        <w:t xml:space="preserve"> </w:t>
      </w:r>
    </w:p>
    <w:p w:rsidR="00AA6F3E" w:rsidRDefault="00AA6F3E" w:rsidP="00AA6F3E">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Penyelesaian kredit macet dapat menempuh beberapa cara, diantaranya melalui Badan Urusan Piutang dan Lelang Negara (BUPLN), yaitu bagi kredit macet yang menyangkut Bank Milik Negara. Biasanya kredit yang telah macet </w:t>
      </w:r>
      <w:r>
        <w:rPr>
          <w:rFonts w:ascii="Times New Roman" w:hAnsi="Times New Roman" w:cs="Times New Roman"/>
          <w:sz w:val="24"/>
          <w:szCs w:val="24"/>
        </w:rPr>
        <w:lastRenderedPageBreak/>
        <w:t>(dan telah diupayakan penagihannya/ penyelesaiannya secara kekeluargaan, tetapi tidak berhasil), maka bank akan menyerahkan penyelesaiannya melalui BUPLN dan selanjutnya akan melakukan pelelangan/ penjualan benda jaminan. Namun tidak selamanya Bank Milik Negara memakai bantuan BUPLN, sebab apabila bank telah memperoleh “Kuasa Menjual”, maka ia dapat menjual harta jaminan tersebut secara dibawah tangan.</w:t>
      </w:r>
      <w:r>
        <w:rPr>
          <w:rStyle w:val="FootnoteReference"/>
          <w:rFonts w:ascii="Times New Roman" w:hAnsi="Times New Roman" w:cs="Times New Roman"/>
          <w:sz w:val="24"/>
          <w:szCs w:val="24"/>
        </w:rPr>
        <w:footnoteReference w:id="55"/>
      </w:r>
    </w:p>
    <w:p w:rsidR="00AA6F3E" w:rsidRDefault="00AA6F3E" w:rsidP="00AA6F3E">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Kredit macet yang berasal dari bank swasta, maka penyelesaiannya dilakukan melalui pengadilan. Proses litigasi merupakan langkah paksa yang dilakukan bank apabila debitur menunjukkan itikad tidak baik yang sengaja menyembunyikan harta bendanya yang masih cukup banyak untuk melunasi kreditnya.</w:t>
      </w:r>
      <w:r>
        <w:rPr>
          <w:rStyle w:val="FootnoteReference"/>
          <w:rFonts w:ascii="Times New Roman" w:hAnsi="Times New Roman" w:cs="Times New Roman"/>
          <w:sz w:val="24"/>
          <w:szCs w:val="24"/>
        </w:rPr>
        <w:footnoteReference w:id="56"/>
      </w:r>
    </w:p>
    <w:p w:rsidR="00AA6F3E" w:rsidRDefault="00AA6F3E" w:rsidP="00AA6F3E">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Penyelesaian kredit macet melalui BUPLN maupun melalui pengadilan akan memakan waktu yang lama sehingga kurang menguntungkan bagi pihak bank. Oleh sebab itu, muncul lembaga arbitrase untuk penyelesaian kredit macet. Dalam perjanjian kredit perbankan, bank dan nasabahnya dapat menuangkan klausula arbitrase yang memuat ketentuan jika terjadi sengketa antar bank dengan nasabah (misal: kredit macet), maka mereka akan menyelesaikannya melalui perantaraan lembaga perwasitan (</w:t>
      </w:r>
      <w:r w:rsidRPr="00185B44">
        <w:rPr>
          <w:rFonts w:ascii="Times New Roman" w:hAnsi="Times New Roman" w:cs="Times New Roman"/>
          <w:i/>
          <w:sz w:val="24"/>
          <w:szCs w:val="24"/>
        </w:rPr>
        <w:t>arbitrase</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57"/>
      </w:r>
      <w:r>
        <w:rPr>
          <w:rFonts w:ascii="Times New Roman" w:hAnsi="Times New Roman" w:cs="Times New Roman"/>
          <w:sz w:val="24"/>
          <w:szCs w:val="24"/>
        </w:rPr>
        <w:t xml:space="preserve"> </w:t>
      </w:r>
    </w:p>
    <w:p w:rsidR="00AA6F3E" w:rsidRDefault="00AA6F3E" w:rsidP="00AA6F3E">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Akibat hukum bagi debitur yang telah melakukan wanprestasi adalah hukuman atau sanksi hukum. Debitur dapat diwajibkan untuk membayar ganti </w:t>
      </w:r>
      <w:r>
        <w:rPr>
          <w:rFonts w:ascii="Times New Roman" w:hAnsi="Times New Roman" w:cs="Times New Roman"/>
          <w:sz w:val="24"/>
          <w:szCs w:val="24"/>
        </w:rPr>
        <w:lastRenderedPageBreak/>
        <w:t>kerugian yang telah diderita oleh kreditur sesuai ketentuan Pasal 1243 KUHPerdata. Kerugian yang telah diderita oleh kreditur dapat terdiri dari tiga komponen, yaitu ongkos-ongkos atau biaya (</w:t>
      </w:r>
      <w:r w:rsidRPr="00914C11">
        <w:rPr>
          <w:rFonts w:ascii="Times New Roman" w:hAnsi="Times New Roman" w:cs="Times New Roman"/>
          <w:i/>
          <w:sz w:val="24"/>
          <w:szCs w:val="24"/>
        </w:rPr>
        <w:t>cost</w:t>
      </w:r>
      <w:r>
        <w:rPr>
          <w:rFonts w:ascii="Times New Roman" w:hAnsi="Times New Roman" w:cs="Times New Roman"/>
          <w:sz w:val="24"/>
          <w:szCs w:val="24"/>
        </w:rPr>
        <w:t>) yang telah dikeluarkan, kerugian yang timbul karena kerusakan dan kehilangan atas barang kepunyaan kreditur akibat kelalaian debitur (</w:t>
      </w:r>
      <w:r w:rsidRPr="00914C11">
        <w:rPr>
          <w:rFonts w:ascii="Times New Roman" w:hAnsi="Times New Roman" w:cs="Times New Roman"/>
          <w:i/>
          <w:sz w:val="24"/>
          <w:szCs w:val="24"/>
        </w:rPr>
        <w:t>damages</w:t>
      </w:r>
      <w:r>
        <w:rPr>
          <w:rFonts w:ascii="Times New Roman" w:hAnsi="Times New Roman" w:cs="Times New Roman"/>
          <w:sz w:val="24"/>
          <w:szCs w:val="24"/>
        </w:rPr>
        <w:t>) dan bunga atau keuntungan yang diharapkan (</w:t>
      </w:r>
      <w:r w:rsidRPr="00914C11">
        <w:rPr>
          <w:rFonts w:ascii="Times New Roman" w:hAnsi="Times New Roman" w:cs="Times New Roman"/>
          <w:i/>
          <w:sz w:val="24"/>
          <w:szCs w:val="24"/>
        </w:rPr>
        <w:t>interest</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58"/>
      </w:r>
    </w:p>
    <w:p w:rsidR="00AA6F3E" w:rsidRPr="00C6690D" w:rsidRDefault="00AA6F3E" w:rsidP="00AA6F3E">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Selain wanprestasi, konsep perikatan lainnya di dalam Buku III KUHPerdata adalah perbuatan melawan hukum (</w:t>
      </w:r>
      <w:r w:rsidRPr="00660D40">
        <w:rPr>
          <w:rFonts w:ascii="Times New Roman" w:hAnsi="Times New Roman" w:cs="Times New Roman"/>
          <w:i/>
          <w:sz w:val="24"/>
          <w:szCs w:val="24"/>
        </w:rPr>
        <w:t>onrechtmatige daad</w:t>
      </w:r>
      <w:r>
        <w:rPr>
          <w:rFonts w:ascii="Times New Roman" w:hAnsi="Times New Roman" w:cs="Times New Roman"/>
          <w:sz w:val="24"/>
          <w:szCs w:val="24"/>
        </w:rPr>
        <w:t>). Perbuatan melawan hukum di dalam KUHPerdata diatur dalam Pasal 1365 sampai dengan Pasal 1380. Pasal 1365 KUHPerdata tidak menyebutkan tentang pengertian perbuatan melawan hukum. Pasal 1365 KUHPerdata menegaskan bahwa</w:t>
      </w:r>
      <w:r w:rsidRPr="00C6690D">
        <w:rPr>
          <w:rFonts w:ascii="Times New Roman" w:hAnsi="Times New Roman" w:cs="Times New Roman"/>
          <w:sz w:val="24"/>
          <w:szCs w:val="24"/>
        </w:rPr>
        <w:t xml:space="preserve"> perbuatan yang melawan hukum yang membawa kerugian kepada orang lain mewajibkan orang karena salahnya menerbitkan kerugian itu mengganti kerugian tersebut.</w:t>
      </w:r>
    </w:p>
    <w:p w:rsidR="00AA6F3E" w:rsidRDefault="00AA6F3E" w:rsidP="00AA6F3E">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Pasal ini mengatur tentang pertanggungjawaban yang diakibatkan oleh adanya perbuatan melawan hukum baik karena berbuat (positif = </w:t>
      </w:r>
      <w:r w:rsidRPr="00176C46">
        <w:rPr>
          <w:rFonts w:ascii="Times New Roman" w:hAnsi="Times New Roman" w:cs="Times New Roman"/>
          <w:i/>
          <w:sz w:val="24"/>
          <w:szCs w:val="24"/>
        </w:rPr>
        <w:t>culpa in comittendo</w:t>
      </w:r>
      <w:r>
        <w:rPr>
          <w:rFonts w:ascii="Times New Roman" w:hAnsi="Times New Roman" w:cs="Times New Roman"/>
          <w:sz w:val="24"/>
          <w:szCs w:val="24"/>
        </w:rPr>
        <w:t xml:space="preserve">) atau karena tidak berbuat (pasif =  </w:t>
      </w:r>
      <w:r w:rsidRPr="00176C46">
        <w:rPr>
          <w:rFonts w:ascii="Times New Roman" w:hAnsi="Times New Roman" w:cs="Times New Roman"/>
          <w:i/>
          <w:sz w:val="24"/>
          <w:szCs w:val="24"/>
        </w:rPr>
        <w:t>culpa in ommitendo</w:t>
      </w:r>
      <w:r>
        <w:rPr>
          <w:rFonts w:ascii="Times New Roman" w:hAnsi="Times New Roman" w:cs="Times New Roman"/>
          <w:sz w:val="24"/>
          <w:szCs w:val="24"/>
        </w:rPr>
        <w:t>). Sedangkan pada Pasal 1366 KUHPerdata lebih menekankan pada tuntutan pertanggungjawaban yang diakibatkan oleh kesalahan (</w:t>
      </w:r>
      <w:r w:rsidRPr="00176C46">
        <w:rPr>
          <w:rFonts w:ascii="Times New Roman" w:hAnsi="Times New Roman" w:cs="Times New Roman"/>
          <w:i/>
          <w:sz w:val="24"/>
          <w:szCs w:val="24"/>
        </w:rPr>
        <w:t>onrechtmatigenalaten</w:t>
      </w:r>
      <w:r>
        <w:rPr>
          <w:rFonts w:ascii="Times New Roman" w:hAnsi="Times New Roman" w:cs="Times New Roman"/>
          <w:sz w:val="24"/>
          <w:szCs w:val="24"/>
        </w:rPr>
        <w:t>). Syarat-syarat untuk menentukan perbuatan melawan hukum itu ada atau tidak, maka harus memenuhi :</w:t>
      </w:r>
    </w:p>
    <w:p w:rsidR="00AA6F3E" w:rsidRPr="00501846" w:rsidRDefault="00AA6F3E" w:rsidP="00AA6F3E">
      <w:pPr>
        <w:pStyle w:val="ListParagraph"/>
        <w:numPr>
          <w:ilvl w:val="1"/>
          <w:numId w:val="12"/>
        </w:numPr>
        <w:spacing w:line="480" w:lineRule="auto"/>
        <w:ind w:left="0"/>
        <w:jc w:val="both"/>
        <w:rPr>
          <w:rFonts w:ascii="Times New Roman" w:hAnsi="Times New Roman" w:cs="Times New Roman"/>
          <w:sz w:val="24"/>
          <w:szCs w:val="24"/>
        </w:rPr>
      </w:pPr>
      <w:r w:rsidRPr="00501846">
        <w:rPr>
          <w:rFonts w:ascii="Times New Roman" w:hAnsi="Times New Roman" w:cs="Times New Roman"/>
          <w:sz w:val="24"/>
          <w:szCs w:val="24"/>
        </w:rPr>
        <w:lastRenderedPageBreak/>
        <w:t>Adanya perbuatan, yang dimaksud dengan perbuatan ini baik yang bersifat positif maupun yang bersifat negatif artinya setiap tingkah laku berbuat dan tidak berbuat.</w:t>
      </w:r>
    </w:p>
    <w:p w:rsidR="00AA6F3E" w:rsidRPr="00501846" w:rsidRDefault="00AA6F3E" w:rsidP="00AA6F3E">
      <w:pPr>
        <w:pStyle w:val="ListParagraph"/>
        <w:numPr>
          <w:ilvl w:val="1"/>
          <w:numId w:val="12"/>
        </w:numPr>
        <w:spacing w:line="480" w:lineRule="auto"/>
        <w:ind w:left="0"/>
        <w:jc w:val="both"/>
        <w:rPr>
          <w:rFonts w:ascii="Times New Roman" w:hAnsi="Times New Roman" w:cs="Times New Roman"/>
          <w:sz w:val="24"/>
          <w:szCs w:val="24"/>
        </w:rPr>
      </w:pPr>
      <w:r w:rsidRPr="00501846">
        <w:rPr>
          <w:rFonts w:ascii="Times New Roman" w:hAnsi="Times New Roman" w:cs="Times New Roman"/>
          <w:sz w:val="24"/>
          <w:szCs w:val="24"/>
        </w:rPr>
        <w:t>Perbuatan itu harus melawan hukum.</w:t>
      </w:r>
    </w:p>
    <w:p w:rsidR="00AA6F3E" w:rsidRPr="00185B44" w:rsidRDefault="00AA6F3E" w:rsidP="00AA6F3E">
      <w:pPr>
        <w:pStyle w:val="ListParagraph"/>
        <w:numPr>
          <w:ilvl w:val="1"/>
          <w:numId w:val="12"/>
        </w:numPr>
        <w:spacing w:line="480" w:lineRule="auto"/>
        <w:ind w:left="0"/>
        <w:jc w:val="both"/>
        <w:rPr>
          <w:rFonts w:ascii="Times New Roman" w:hAnsi="Times New Roman" w:cs="Times New Roman"/>
          <w:sz w:val="24"/>
          <w:szCs w:val="24"/>
        </w:rPr>
      </w:pPr>
      <w:r w:rsidRPr="00185B44">
        <w:rPr>
          <w:rFonts w:ascii="Times New Roman" w:hAnsi="Times New Roman" w:cs="Times New Roman"/>
          <w:sz w:val="24"/>
          <w:szCs w:val="24"/>
        </w:rPr>
        <w:t>Ada kerugian.</w:t>
      </w:r>
    </w:p>
    <w:p w:rsidR="00AA6F3E" w:rsidRPr="00501846" w:rsidRDefault="00AA6F3E" w:rsidP="00AA6F3E">
      <w:pPr>
        <w:pStyle w:val="ListParagraph"/>
        <w:numPr>
          <w:ilvl w:val="1"/>
          <w:numId w:val="12"/>
        </w:numPr>
        <w:spacing w:line="480" w:lineRule="auto"/>
        <w:ind w:left="0"/>
        <w:jc w:val="both"/>
        <w:rPr>
          <w:rFonts w:ascii="Times New Roman" w:hAnsi="Times New Roman" w:cs="Times New Roman"/>
          <w:sz w:val="24"/>
          <w:szCs w:val="24"/>
        </w:rPr>
      </w:pPr>
      <w:r w:rsidRPr="00501846">
        <w:rPr>
          <w:rFonts w:ascii="Times New Roman" w:hAnsi="Times New Roman" w:cs="Times New Roman"/>
          <w:sz w:val="24"/>
          <w:szCs w:val="24"/>
        </w:rPr>
        <w:t>Ada hubungan sebab akibat antara perbuatan melawan hukum dengan kerugian.</w:t>
      </w:r>
    </w:p>
    <w:p w:rsidR="00AA6F3E" w:rsidRDefault="00AA6F3E" w:rsidP="00AA6F3E">
      <w:pPr>
        <w:pStyle w:val="ListParagraph"/>
        <w:numPr>
          <w:ilvl w:val="1"/>
          <w:numId w:val="12"/>
        </w:numPr>
        <w:spacing w:line="480" w:lineRule="auto"/>
        <w:ind w:left="0"/>
        <w:jc w:val="both"/>
        <w:rPr>
          <w:rFonts w:ascii="Times New Roman" w:hAnsi="Times New Roman" w:cs="Times New Roman"/>
          <w:sz w:val="24"/>
          <w:szCs w:val="24"/>
        </w:rPr>
      </w:pPr>
      <w:r>
        <w:rPr>
          <w:rFonts w:ascii="Times New Roman" w:hAnsi="Times New Roman" w:cs="Times New Roman"/>
          <w:sz w:val="24"/>
          <w:szCs w:val="24"/>
        </w:rPr>
        <w:t>Ada kesalahan (</w:t>
      </w:r>
      <w:r w:rsidRPr="00660D40">
        <w:rPr>
          <w:rFonts w:ascii="Times New Roman" w:hAnsi="Times New Roman" w:cs="Times New Roman"/>
          <w:i/>
          <w:sz w:val="24"/>
          <w:szCs w:val="24"/>
        </w:rPr>
        <w:t>schuld</w:t>
      </w:r>
      <w:r>
        <w:rPr>
          <w:rFonts w:ascii="Times New Roman" w:hAnsi="Times New Roman" w:cs="Times New Roman"/>
          <w:sz w:val="24"/>
          <w:szCs w:val="24"/>
        </w:rPr>
        <w:t>).</w:t>
      </w:r>
    </w:p>
    <w:p w:rsidR="00AA6F3E" w:rsidRDefault="00AA6F3E" w:rsidP="00AA6F3E">
      <w:pPr>
        <w:pStyle w:val="ListParagraph"/>
        <w:spacing w:line="480" w:lineRule="auto"/>
        <w:ind w:left="0" w:firstLine="851"/>
        <w:jc w:val="both"/>
        <w:rPr>
          <w:rFonts w:ascii="Times New Roman" w:hAnsi="Times New Roman" w:cs="Times New Roman"/>
          <w:sz w:val="24"/>
          <w:szCs w:val="24"/>
        </w:rPr>
      </w:pPr>
      <w:r>
        <w:rPr>
          <w:rFonts w:ascii="Times New Roman" w:hAnsi="Times New Roman" w:cs="Times New Roman"/>
          <w:sz w:val="24"/>
          <w:szCs w:val="24"/>
        </w:rPr>
        <w:t>Perbuatan melawan hukum berbeda dengan wanprestasi. Hak penggugat di dalam perbuatan melawan hukum atau kewajiban yang dilanggar tergugat di dalam perbuatan melawan hukum timbul dari ketentuan hukum (umum), sedangkan di dalam wanprestasi, hak atau kewajiban berasal dari kontrak atau kesepakatan para pihak.</w:t>
      </w:r>
      <w:r>
        <w:rPr>
          <w:rStyle w:val="FootnoteReference"/>
          <w:rFonts w:ascii="Times New Roman" w:hAnsi="Times New Roman" w:cs="Times New Roman"/>
          <w:sz w:val="24"/>
          <w:szCs w:val="24"/>
        </w:rPr>
        <w:footnoteReference w:id="59"/>
      </w:r>
      <w:r>
        <w:rPr>
          <w:rFonts w:ascii="Times New Roman" w:hAnsi="Times New Roman" w:cs="Times New Roman"/>
          <w:sz w:val="24"/>
          <w:szCs w:val="24"/>
        </w:rPr>
        <w:t xml:space="preserve"> Yahya Harahap mengemukakan bahwa wanprestasi merupakan pelaksanaan kewajiban yang tidak tepat waktu atau dilakukan tidak menurut selayaknya. Pihak yang merasa dirugikan akibat adanya wanprestasi bisa menuntut pemenuhan perjanjian, pembatalan perjanjian, atau meminta ganti kerugian pada debitur. Ganti kerugian dapat meliputi biaya yang nyata-nyata telah dikeluarkan dan kerugian yang timbul akibat wanprestasi tersebut disertai dengan bunga. Pengertian bunga meliputi hilangnya keuntungan yang sudah diperkirakan atau dibayangkan oleh kreditur seandainya tidak terjadi wanprestasi. Dalam </w:t>
      </w:r>
      <w:r>
        <w:rPr>
          <w:rFonts w:ascii="Times New Roman" w:hAnsi="Times New Roman" w:cs="Times New Roman"/>
          <w:sz w:val="24"/>
          <w:szCs w:val="24"/>
        </w:rPr>
        <w:lastRenderedPageBreak/>
        <w:t>perbuatan melawan hukum, penggugat dapat menuntut pengembalian pada keadaan semula (</w:t>
      </w:r>
      <w:r w:rsidRPr="001A1664">
        <w:rPr>
          <w:rFonts w:ascii="Times New Roman" w:hAnsi="Times New Roman" w:cs="Times New Roman"/>
          <w:i/>
          <w:sz w:val="24"/>
          <w:szCs w:val="24"/>
        </w:rPr>
        <w:t>restitutio in integrum</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60"/>
      </w:r>
      <w:r>
        <w:rPr>
          <w:rFonts w:ascii="Times New Roman" w:hAnsi="Times New Roman" w:cs="Times New Roman"/>
          <w:sz w:val="24"/>
          <w:szCs w:val="24"/>
        </w:rPr>
        <w:t xml:space="preserve"> </w:t>
      </w:r>
    </w:p>
    <w:p w:rsidR="00AA6F3E" w:rsidRPr="00660D40" w:rsidRDefault="00AA6F3E" w:rsidP="00AA6F3E">
      <w:pPr>
        <w:pStyle w:val="ListParagraph"/>
        <w:spacing w:line="240" w:lineRule="auto"/>
        <w:ind w:left="0" w:firstLine="851"/>
        <w:jc w:val="both"/>
        <w:rPr>
          <w:rFonts w:ascii="Times New Roman" w:hAnsi="Times New Roman" w:cs="Times New Roman"/>
          <w:sz w:val="24"/>
          <w:szCs w:val="24"/>
        </w:rPr>
      </w:pPr>
    </w:p>
    <w:p w:rsidR="00AA6F3E" w:rsidRPr="0005082E" w:rsidRDefault="00AA6F3E" w:rsidP="00AA6F3E">
      <w:pPr>
        <w:pStyle w:val="ListParagraph"/>
        <w:numPr>
          <w:ilvl w:val="3"/>
          <w:numId w:val="1"/>
        </w:numPr>
        <w:spacing w:line="480" w:lineRule="auto"/>
        <w:ind w:left="0"/>
        <w:jc w:val="both"/>
        <w:rPr>
          <w:rFonts w:ascii="Times New Roman" w:hAnsi="Times New Roman" w:cs="Times New Roman"/>
          <w:b/>
          <w:sz w:val="24"/>
          <w:szCs w:val="24"/>
        </w:rPr>
      </w:pPr>
      <w:r w:rsidRPr="0005082E">
        <w:rPr>
          <w:rFonts w:ascii="Times New Roman" w:hAnsi="Times New Roman" w:cs="Times New Roman"/>
          <w:b/>
          <w:sz w:val="24"/>
          <w:szCs w:val="24"/>
        </w:rPr>
        <w:t>Sengketa dalam Pembebanan Hak Tanggungan</w:t>
      </w:r>
    </w:p>
    <w:p w:rsidR="00AA6F3E" w:rsidRPr="00D47F4F" w:rsidRDefault="00AA6F3E" w:rsidP="00AA6F3E">
      <w:pPr>
        <w:pStyle w:val="ListParagraph"/>
        <w:spacing w:line="480" w:lineRule="auto"/>
        <w:ind w:left="0" w:firstLine="840"/>
        <w:jc w:val="both"/>
        <w:rPr>
          <w:rFonts w:ascii="Times New Roman" w:hAnsi="Times New Roman" w:cs="Times New Roman"/>
          <w:sz w:val="24"/>
          <w:szCs w:val="24"/>
        </w:rPr>
      </w:pPr>
      <w:r>
        <w:rPr>
          <w:rFonts w:ascii="Times New Roman" w:hAnsi="Times New Roman" w:cs="Times New Roman"/>
          <w:sz w:val="24"/>
          <w:szCs w:val="24"/>
        </w:rPr>
        <w:t xml:space="preserve">Kedudukan peradilan dalam sebuah negara hukum yang tunduk pada </w:t>
      </w:r>
      <w:r w:rsidRPr="00D47F4F">
        <w:rPr>
          <w:rFonts w:ascii="Times New Roman" w:hAnsi="Times New Roman" w:cs="Times New Roman"/>
          <w:i/>
          <w:sz w:val="24"/>
          <w:szCs w:val="24"/>
        </w:rPr>
        <w:t>rule of law</w:t>
      </w:r>
      <w:r>
        <w:rPr>
          <w:rFonts w:ascii="Times New Roman" w:hAnsi="Times New Roman" w:cs="Times New Roman"/>
          <w:i/>
          <w:sz w:val="24"/>
          <w:szCs w:val="24"/>
        </w:rPr>
        <w:t xml:space="preserve">, </w:t>
      </w:r>
      <w:r>
        <w:rPr>
          <w:rFonts w:ascii="Times New Roman" w:hAnsi="Times New Roman" w:cs="Times New Roman"/>
          <w:sz w:val="24"/>
          <w:szCs w:val="24"/>
        </w:rPr>
        <w:t>adalah sebagai pelaksana kekuasaan kehakiman (</w:t>
      </w:r>
      <w:r w:rsidRPr="00C864F7">
        <w:rPr>
          <w:rFonts w:ascii="Times New Roman" w:hAnsi="Times New Roman" w:cs="Times New Roman"/>
          <w:i/>
          <w:sz w:val="24"/>
          <w:szCs w:val="24"/>
        </w:rPr>
        <w:t>judicial power</w:t>
      </w:r>
      <w:r>
        <w:rPr>
          <w:rFonts w:ascii="Times New Roman" w:hAnsi="Times New Roman" w:cs="Times New Roman"/>
          <w:sz w:val="24"/>
          <w:szCs w:val="24"/>
        </w:rPr>
        <w:t>) yang memiliki peran sebagai katup penekan (</w:t>
      </w:r>
      <w:r w:rsidRPr="00716FAB">
        <w:rPr>
          <w:rFonts w:ascii="Times New Roman" w:hAnsi="Times New Roman" w:cs="Times New Roman"/>
          <w:i/>
          <w:sz w:val="24"/>
          <w:szCs w:val="24"/>
        </w:rPr>
        <w:t>pressure valve</w:t>
      </w:r>
      <w:r>
        <w:rPr>
          <w:rFonts w:ascii="Times New Roman" w:hAnsi="Times New Roman" w:cs="Times New Roman"/>
          <w:sz w:val="24"/>
          <w:szCs w:val="24"/>
        </w:rPr>
        <w:t>) atas segala pelanggaran hukum dan ketertiban masyarakat. Sehingga lembaga peradilan tetap relevan sebagai tempat terakhir  (</w:t>
      </w:r>
      <w:r w:rsidRPr="00B57627">
        <w:rPr>
          <w:rFonts w:ascii="Times New Roman" w:hAnsi="Times New Roman" w:cs="Times New Roman"/>
          <w:i/>
          <w:sz w:val="24"/>
          <w:szCs w:val="24"/>
        </w:rPr>
        <w:t>the last resort</w:t>
      </w:r>
      <w:r>
        <w:rPr>
          <w:rFonts w:ascii="Times New Roman" w:hAnsi="Times New Roman" w:cs="Times New Roman"/>
          <w:sz w:val="24"/>
          <w:szCs w:val="24"/>
        </w:rPr>
        <w:t>) untuk mencari kebenaran dan keadilan (</w:t>
      </w:r>
      <w:r w:rsidRPr="00716FAB">
        <w:rPr>
          <w:rFonts w:ascii="Times New Roman" w:hAnsi="Times New Roman" w:cs="Times New Roman"/>
          <w:i/>
          <w:sz w:val="24"/>
          <w:szCs w:val="24"/>
        </w:rPr>
        <w:t>to envorce the truth and justice</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61"/>
      </w:r>
      <w:r>
        <w:rPr>
          <w:rFonts w:ascii="Times New Roman" w:hAnsi="Times New Roman" w:cs="Times New Roman"/>
          <w:sz w:val="24"/>
          <w:szCs w:val="24"/>
        </w:rPr>
        <w:t xml:space="preserve"> Bertitik tolak dari hal tersebut, maka sudah sepantasnya jika masyarakat memiliki harapan yang tinggi terhadap setiap permasalahan yang timbul. Lembaga peradilan selalu diharapkan mampu menyelesaikan segala permasalahan dengan berpegang pada hukum (</w:t>
      </w:r>
      <w:r w:rsidRPr="00C864F7">
        <w:rPr>
          <w:rFonts w:ascii="Times New Roman" w:hAnsi="Times New Roman" w:cs="Times New Roman"/>
          <w:i/>
          <w:sz w:val="24"/>
          <w:szCs w:val="24"/>
        </w:rPr>
        <w:t>rule of law</w:t>
      </w:r>
      <w:r>
        <w:rPr>
          <w:rFonts w:ascii="Times New Roman" w:hAnsi="Times New Roman" w:cs="Times New Roman"/>
          <w:sz w:val="24"/>
          <w:szCs w:val="24"/>
        </w:rPr>
        <w:t xml:space="preserve">). Demikian halnya dalam perjanjian kredit perbankan, selalu terbuka peluang akan adanya sengketa yang berakhir pada pengajuan gugatan di antara para pihak. </w:t>
      </w:r>
    </w:p>
    <w:p w:rsidR="00AA6F3E" w:rsidRDefault="00AA6F3E" w:rsidP="00AA6F3E">
      <w:pPr>
        <w:pStyle w:val="ListParagraph"/>
        <w:spacing w:line="480" w:lineRule="auto"/>
        <w:ind w:left="0" w:firstLine="839"/>
        <w:jc w:val="both"/>
        <w:rPr>
          <w:rFonts w:ascii="Times New Roman" w:hAnsi="Times New Roman" w:cs="Times New Roman"/>
          <w:sz w:val="24"/>
          <w:szCs w:val="24"/>
        </w:rPr>
      </w:pPr>
      <w:r w:rsidRPr="00BD4830">
        <w:rPr>
          <w:rFonts w:ascii="Times New Roman" w:hAnsi="Times New Roman" w:cs="Times New Roman"/>
          <w:sz w:val="24"/>
          <w:szCs w:val="24"/>
        </w:rPr>
        <w:t>Prof. Sudikno menggunakan istilah gugatan sebagai tuntutan hak yang diatur dalam Hukum Acara Perdata, yaitu tindakan yang bertujuan memperoleh perlindungan hukum yang diberikan oleh pengadilan</w:t>
      </w:r>
      <w:r>
        <w:rPr>
          <w:rFonts w:ascii="Times New Roman" w:hAnsi="Times New Roman" w:cs="Times New Roman"/>
          <w:sz w:val="24"/>
          <w:szCs w:val="24"/>
        </w:rPr>
        <w:t xml:space="preserve"> </w:t>
      </w:r>
      <w:r w:rsidRPr="00BD4830">
        <w:rPr>
          <w:rFonts w:ascii="Times New Roman" w:hAnsi="Times New Roman" w:cs="Times New Roman"/>
          <w:sz w:val="24"/>
          <w:szCs w:val="24"/>
        </w:rPr>
        <w:t>untuk mencegah “</w:t>
      </w:r>
      <w:r w:rsidRPr="00BD4830">
        <w:rPr>
          <w:rFonts w:ascii="Times New Roman" w:hAnsi="Times New Roman" w:cs="Times New Roman"/>
          <w:i/>
          <w:sz w:val="24"/>
          <w:szCs w:val="24"/>
        </w:rPr>
        <w:t>eigenrichting</w:t>
      </w:r>
      <w:r w:rsidRPr="00BD4830">
        <w:rPr>
          <w:rFonts w:ascii="Times New Roman" w:hAnsi="Times New Roman" w:cs="Times New Roman"/>
          <w:sz w:val="24"/>
          <w:szCs w:val="24"/>
        </w:rPr>
        <w:t>” atau tindakan menghakimi sendiri.</w:t>
      </w:r>
      <w:r w:rsidRPr="00BD4830">
        <w:rPr>
          <w:rStyle w:val="FootnoteReference"/>
          <w:rFonts w:ascii="Times New Roman" w:hAnsi="Times New Roman" w:cs="Times New Roman"/>
          <w:sz w:val="24"/>
          <w:szCs w:val="24"/>
        </w:rPr>
        <w:footnoteReference w:id="62"/>
      </w:r>
    </w:p>
    <w:p w:rsidR="00AA6F3E" w:rsidRDefault="00AA6F3E" w:rsidP="00AA6F3E">
      <w:pPr>
        <w:pStyle w:val="ListParagraph"/>
        <w:spacing w:line="240" w:lineRule="auto"/>
        <w:ind w:left="0" w:firstLine="839"/>
        <w:jc w:val="both"/>
        <w:rPr>
          <w:rFonts w:ascii="Times New Roman" w:hAnsi="Times New Roman" w:cs="Times New Roman"/>
          <w:sz w:val="24"/>
          <w:szCs w:val="24"/>
        </w:rPr>
      </w:pPr>
    </w:p>
    <w:p w:rsidR="00AA6F3E" w:rsidRPr="00BD4830" w:rsidRDefault="00AA6F3E" w:rsidP="00AA6F3E">
      <w:pPr>
        <w:pStyle w:val="ListParagraph"/>
        <w:spacing w:line="480" w:lineRule="auto"/>
        <w:ind w:left="0" w:firstLine="840"/>
        <w:jc w:val="both"/>
        <w:rPr>
          <w:rFonts w:ascii="Times New Roman" w:hAnsi="Times New Roman" w:cs="Times New Roman"/>
          <w:sz w:val="24"/>
          <w:szCs w:val="24"/>
        </w:rPr>
      </w:pPr>
      <w:r w:rsidRPr="00BD4830">
        <w:rPr>
          <w:rFonts w:ascii="Times New Roman" w:hAnsi="Times New Roman" w:cs="Times New Roman"/>
          <w:sz w:val="24"/>
          <w:szCs w:val="24"/>
        </w:rPr>
        <w:lastRenderedPageBreak/>
        <w:t>Tuntutan hak yang di dalam Pasal 118 ayat 1 HIR (Pasal 142 ayat 1 RBg) disebut sebagai tuntutan perdata (</w:t>
      </w:r>
      <w:r w:rsidRPr="00BD4830">
        <w:rPr>
          <w:rFonts w:ascii="Times New Roman" w:hAnsi="Times New Roman" w:cs="Times New Roman"/>
          <w:i/>
          <w:sz w:val="24"/>
          <w:szCs w:val="24"/>
        </w:rPr>
        <w:t>burgerlijke vordering</w:t>
      </w:r>
      <w:r w:rsidRPr="00BD4830">
        <w:rPr>
          <w:rFonts w:ascii="Times New Roman" w:hAnsi="Times New Roman" w:cs="Times New Roman"/>
          <w:sz w:val="24"/>
          <w:szCs w:val="24"/>
        </w:rPr>
        <w:t>) tidak lain adalah tuntutan hak yang mengandung sengketa dan lazimnya disebut gugatan.</w:t>
      </w:r>
      <w:r>
        <w:rPr>
          <w:rFonts w:ascii="Times New Roman" w:hAnsi="Times New Roman" w:cs="Times New Roman"/>
          <w:sz w:val="24"/>
          <w:szCs w:val="24"/>
        </w:rPr>
        <w:t xml:space="preserve"> </w:t>
      </w:r>
      <w:r w:rsidRPr="00BD4830">
        <w:rPr>
          <w:rFonts w:ascii="Times New Roman" w:hAnsi="Times New Roman" w:cs="Times New Roman"/>
          <w:sz w:val="24"/>
          <w:szCs w:val="24"/>
        </w:rPr>
        <w:t xml:space="preserve"> Gugatan dapat diajukan baik secara tertulis (Pasal 118 ayat 1 HIR, 142 ayat 1 RBg) maupun secara lisan (Pasal 120 HIR, 144 ayat 1 RBg).</w:t>
      </w:r>
      <w:r w:rsidRPr="00BD4830">
        <w:rPr>
          <w:rStyle w:val="FootnoteReference"/>
          <w:rFonts w:ascii="Times New Roman" w:hAnsi="Times New Roman" w:cs="Times New Roman"/>
          <w:sz w:val="24"/>
          <w:szCs w:val="24"/>
        </w:rPr>
        <w:footnoteReference w:id="63"/>
      </w:r>
    </w:p>
    <w:p w:rsidR="00AA6F3E" w:rsidRPr="00BD4830" w:rsidRDefault="00AA6F3E" w:rsidP="00AA6F3E">
      <w:pPr>
        <w:pStyle w:val="ListParagraph"/>
        <w:spacing w:line="480" w:lineRule="auto"/>
        <w:ind w:left="0" w:firstLine="840"/>
        <w:jc w:val="both"/>
        <w:rPr>
          <w:rFonts w:ascii="Times New Roman" w:hAnsi="Times New Roman" w:cs="Times New Roman"/>
          <w:sz w:val="24"/>
          <w:szCs w:val="24"/>
        </w:rPr>
      </w:pPr>
      <w:r w:rsidRPr="00BD4830">
        <w:rPr>
          <w:rFonts w:ascii="Times New Roman" w:hAnsi="Times New Roman" w:cs="Times New Roman"/>
          <w:sz w:val="24"/>
          <w:szCs w:val="24"/>
        </w:rPr>
        <w:t xml:space="preserve">Gugatan secara umum muncul ketika terjadi </w:t>
      </w:r>
      <w:r>
        <w:rPr>
          <w:rFonts w:ascii="Times New Roman" w:hAnsi="Times New Roman" w:cs="Times New Roman"/>
          <w:sz w:val="24"/>
          <w:szCs w:val="24"/>
        </w:rPr>
        <w:t xml:space="preserve">sengketa </w:t>
      </w:r>
      <w:r w:rsidRPr="00BD4830">
        <w:rPr>
          <w:rFonts w:ascii="Times New Roman" w:hAnsi="Times New Roman" w:cs="Times New Roman"/>
          <w:sz w:val="24"/>
          <w:szCs w:val="24"/>
        </w:rPr>
        <w:t xml:space="preserve">atau adanya pelanggaran terhadap hak-hak debitur pemberi </w:t>
      </w:r>
      <w:r>
        <w:rPr>
          <w:rFonts w:ascii="Times New Roman" w:hAnsi="Times New Roman" w:cs="Times New Roman"/>
          <w:sz w:val="24"/>
          <w:szCs w:val="24"/>
        </w:rPr>
        <w:t>h</w:t>
      </w:r>
      <w:r w:rsidRPr="00BD4830">
        <w:rPr>
          <w:rFonts w:ascii="Times New Roman" w:hAnsi="Times New Roman" w:cs="Times New Roman"/>
          <w:sz w:val="24"/>
          <w:szCs w:val="24"/>
        </w:rPr>
        <w:t xml:space="preserve">ak </w:t>
      </w:r>
      <w:r>
        <w:rPr>
          <w:rFonts w:ascii="Times New Roman" w:hAnsi="Times New Roman" w:cs="Times New Roman"/>
          <w:sz w:val="24"/>
          <w:szCs w:val="24"/>
        </w:rPr>
        <w:t>t</w:t>
      </w:r>
      <w:r w:rsidRPr="00BD4830">
        <w:rPr>
          <w:rFonts w:ascii="Times New Roman" w:hAnsi="Times New Roman" w:cs="Times New Roman"/>
          <w:sz w:val="24"/>
          <w:szCs w:val="24"/>
        </w:rPr>
        <w:t xml:space="preserve">anggungan oleh kreditur pemegang </w:t>
      </w:r>
      <w:r>
        <w:rPr>
          <w:rFonts w:ascii="Times New Roman" w:hAnsi="Times New Roman" w:cs="Times New Roman"/>
          <w:sz w:val="24"/>
          <w:szCs w:val="24"/>
        </w:rPr>
        <w:t>h</w:t>
      </w:r>
      <w:r w:rsidRPr="00BD4830">
        <w:rPr>
          <w:rFonts w:ascii="Times New Roman" w:hAnsi="Times New Roman" w:cs="Times New Roman"/>
          <w:sz w:val="24"/>
          <w:szCs w:val="24"/>
        </w:rPr>
        <w:t xml:space="preserve">ak </w:t>
      </w:r>
      <w:r>
        <w:rPr>
          <w:rFonts w:ascii="Times New Roman" w:hAnsi="Times New Roman" w:cs="Times New Roman"/>
          <w:sz w:val="24"/>
          <w:szCs w:val="24"/>
        </w:rPr>
        <w:t>t</w:t>
      </w:r>
      <w:r w:rsidRPr="00BD4830">
        <w:rPr>
          <w:rFonts w:ascii="Times New Roman" w:hAnsi="Times New Roman" w:cs="Times New Roman"/>
          <w:sz w:val="24"/>
          <w:szCs w:val="24"/>
        </w:rPr>
        <w:t xml:space="preserve">anggungan. Hal ini sesuai dengan asas </w:t>
      </w:r>
      <w:r w:rsidRPr="00BD4830">
        <w:rPr>
          <w:rFonts w:ascii="Times New Roman" w:hAnsi="Times New Roman" w:cs="Times New Roman"/>
          <w:i/>
          <w:sz w:val="24"/>
          <w:szCs w:val="24"/>
        </w:rPr>
        <w:t>point d’interet point d’action</w:t>
      </w:r>
      <w:r w:rsidRPr="00BD4830">
        <w:rPr>
          <w:rFonts w:ascii="Times New Roman" w:hAnsi="Times New Roman" w:cs="Times New Roman"/>
          <w:sz w:val="24"/>
          <w:szCs w:val="24"/>
        </w:rPr>
        <w:t xml:space="preserve"> yang berarti bahwa barang siapa yang mempunyai kepentingan dapat mengajukan tuntutan hak/ gugatan ke pengadilan.</w:t>
      </w:r>
      <w:r w:rsidRPr="00BD4830">
        <w:rPr>
          <w:rStyle w:val="FootnoteReference"/>
          <w:rFonts w:ascii="Times New Roman" w:hAnsi="Times New Roman" w:cs="Times New Roman"/>
          <w:sz w:val="24"/>
          <w:szCs w:val="24"/>
        </w:rPr>
        <w:footnoteReference w:id="64"/>
      </w:r>
    </w:p>
    <w:p w:rsidR="00AA6F3E" w:rsidRDefault="00AA6F3E" w:rsidP="00AA6F3E">
      <w:pPr>
        <w:pStyle w:val="ListParagraph"/>
        <w:spacing w:line="480" w:lineRule="auto"/>
        <w:ind w:left="0" w:firstLine="840"/>
        <w:jc w:val="both"/>
        <w:rPr>
          <w:rFonts w:ascii="Times New Roman" w:hAnsi="Times New Roman" w:cs="Times New Roman"/>
          <w:sz w:val="24"/>
          <w:szCs w:val="24"/>
        </w:rPr>
      </w:pPr>
      <w:r>
        <w:rPr>
          <w:rFonts w:ascii="Times New Roman" w:hAnsi="Times New Roman" w:cs="Times New Roman"/>
          <w:sz w:val="24"/>
          <w:szCs w:val="24"/>
          <w:lang w:val="en-US"/>
        </w:rPr>
        <w:t xml:space="preserve">Gugatan dalam hukum acara perdata umumnya terdapat 2 (dua) pihak atau lebih, yaitu antara pihak penggugat dan tergugat, yang mana terjadinya gugatan umumnya pihak tergugat telah melakukan pelanggaran terhadap hak dan </w:t>
      </w:r>
      <w:proofErr w:type="gramStart"/>
      <w:r>
        <w:rPr>
          <w:rFonts w:ascii="Times New Roman" w:hAnsi="Times New Roman" w:cs="Times New Roman"/>
          <w:sz w:val="24"/>
          <w:szCs w:val="24"/>
          <w:lang w:val="en-US"/>
        </w:rPr>
        <w:t>kewajiban  yang</w:t>
      </w:r>
      <w:proofErr w:type="gramEnd"/>
      <w:r>
        <w:rPr>
          <w:rFonts w:ascii="Times New Roman" w:hAnsi="Times New Roman" w:cs="Times New Roman"/>
          <w:sz w:val="24"/>
          <w:szCs w:val="24"/>
          <w:lang w:val="en-US"/>
        </w:rPr>
        <w:t xml:space="preserve"> merugikan pihak penggugat. Terjadinya gugatan umunya setelah pihak tergugat melakukan pelanggaran hak dan kewajiban yang melakukan pelanggaran hak dan kewajiban yang diminta oleh pihak penggugat, sehingga </w:t>
      </w:r>
      <w:proofErr w:type="gramStart"/>
      <w:r>
        <w:rPr>
          <w:rFonts w:ascii="Times New Roman" w:hAnsi="Times New Roman" w:cs="Times New Roman"/>
          <w:sz w:val="24"/>
          <w:szCs w:val="24"/>
          <w:lang w:val="en-US"/>
        </w:rPr>
        <w:t>akan</w:t>
      </w:r>
      <w:proofErr w:type="gramEnd"/>
      <w:r>
        <w:rPr>
          <w:rFonts w:ascii="Times New Roman" w:hAnsi="Times New Roman" w:cs="Times New Roman"/>
          <w:sz w:val="24"/>
          <w:szCs w:val="24"/>
          <w:lang w:val="en-US"/>
        </w:rPr>
        <w:t xml:space="preserve"> timbul sengketa antara penggugat dan tergugat. Sengketa yang dihadapi oleh para pihak apabila tidak bisa diselesaikan secara damai di luar </w:t>
      </w:r>
      <w:proofErr w:type="gramStart"/>
      <w:r>
        <w:rPr>
          <w:rFonts w:ascii="Times New Roman" w:hAnsi="Times New Roman" w:cs="Times New Roman"/>
          <w:sz w:val="24"/>
          <w:szCs w:val="24"/>
          <w:lang w:val="en-US"/>
        </w:rPr>
        <w:t>persidangan  umumnya</w:t>
      </w:r>
      <w:proofErr w:type="gramEnd"/>
      <w:r>
        <w:rPr>
          <w:rFonts w:ascii="Times New Roman" w:hAnsi="Times New Roman" w:cs="Times New Roman"/>
          <w:sz w:val="24"/>
          <w:szCs w:val="24"/>
          <w:lang w:val="en-US"/>
        </w:rPr>
        <w:t xml:space="preserve"> perkaranya diselesaikan oleh para pihak melalui persidangan pengadilan untuk mendapatkan keadilan.</w:t>
      </w:r>
      <w:r>
        <w:rPr>
          <w:rStyle w:val="FootnoteReference"/>
          <w:rFonts w:ascii="Times New Roman" w:hAnsi="Times New Roman" w:cs="Times New Roman"/>
          <w:sz w:val="24"/>
          <w:szCs w:val="24"/>
          <w:lang w:val="en-US"/>
        </w:rPr>
        <w:footnoteReference w:id="65"/>
      </w:r>
      <w:r>
        <w:rPr>
          <w:rFonts w:ascii="Times New Roman" w:hAnsi="Times New Roman" w:cs="Times New Roman"/>
          <w:sz w:val="24"/>
          <w:szCs w:val="24"/>
        </w:rPr>
        <w:t xml:space="preserve"> </w:t>
      </w:r>
    </w:p>
    <w:p w:rsidR="00AA6F3E" w:rsidRDefault="00AA6F3E" w:rsidP="00AA6F3E">
      <w:pPr>
        <w:pStyle w:val="ListParagraph"/>
        <w:spacing w:line="480" w:lineRule="auto"/>
        <w:ind w:left="0" w:firstLine="839"/>
        <w:jc w:val="both"/>
        <w:rPr>
          <w:rFonts w:ascii="Times New Roman" w:hAnsi="Times New Roman" w:cs="Times New Roman"/>
          <w:sz w:val="24"/>
          <w:szCs w:val="24"/>
        </w:rPr>
      </w:pPr>
      <w:r w:rsidRPr="00BD4830">
        <w:rPr>
          <w:rFonts w:ascii="Times New Roman" w:hAnsi="Times New Roman" w:cs="Times New Roman"/>
          <w:sz w:val="24"/>
          <w:szCs w:val="24"/>
        </w:rPr>
        <w:lastRenderedPageBreak/>
        <w:t>Abdul Khalim</w:t>
      </w:r>
      <w:r>
        <w:rPr>
          <w:rFonts w:ascii="Times New Roman" w:hAnsi="Times New Roman" w:cs="Times New Roman"/>
          <w:sz w:val="24"/>
          <w:szCs w:val="24"/>
        </w:rPr>
        <w:t xml:space="preserve"> berpendapat bahwa g</w:t>
      </w:r>
      <w:r w:rsidRPr="00BD4830">
        <w:rPr>
          <w:rFonts w:ascii="Times New Roman" w:hAnsi="Times New Roman" w:cs="Times New Roman"/>
          <w:sz w:val="24"/>
          <w:szCs w:val="24"/>
        </w:rPr>
        <w:t>ugatan yang di</w:t>
      </w:r>
      <w:r>
        <w:rPr>
          <w:rFonts w:ascii="Times New Roman" w:hAnsi="Times New Roman" w:cs="Times New Roman"/>
          <w:sz w:val="24"/>
          <w:szCs w:val="24"/>
        </w:rPr>
        <w:t>ajukan dalam proses eksekusi obj</w:t>
      </w:r>
      <w:r w:rsidRPr="00BD4830">
        <w:rPr>
          <w:rFonts w:ascii="Times New Roman" w:hAnsi="Times New Roman" w:cs="Times New Roman"/>
          <w:sz w:val="24"/>
          <w:szCs w:val="24"/>
        </w:rPr>
        <w:t xml:space="preserve">ek </w:t>
      </w:r>
      <w:r>
        <w:rPr>
          <w:rFonts w:ascii="Times New Roman" w:hAnsi="Times New Roman" w:cs="Times New Roman"/>
          <w:sz w:val="24"/>
          <w:szCs w:val="24"/>
        </w:rPr>
        <w:t>h</w:t>
      </w:r>
      <w:r w:rsidRPr="00BD4830">
        <w:rPr>
          <w:rFonts w:ascii="Times New Roman" w:hAnsi="Times New Roman" w:cs="Times New Roman"/>
          <w:sz w:val="24"/>
          <w:szCs w:val="24"/>
        </w:rPr>
        <w:t xml:space="preserve">ak </w:t>
      </w:r>
      <w:r>
        <w:rPr>
          <w:rFonts w:ascii="Times New Roman" w:hAnsi="Times New Roman" w:cs="Times New Roman"/>
          <w:sz w:val="24"/>
          <w:szCs w:val="24"/>
        </w:rPr>
        <w:t>t</w:t>
      </w:r>
      <w:r w:rsidRPr="00BD4830">
        <w:rPr>
          <w:rFonts w:ascii="Times New Roman" w:hAnsi="Times New Roman" w:cs="Times New Roman"/>
          <w:sz w:val="24"/>
          <w:szCs w:val="24"/>
        </w:rPr>
        <w:t>anggungan diajukan oleh debitur sebelum pelaksanaan lelang dengan tujuan menunda pelaksanaan lelang dan gugatan/ bantahan pasca lelang sangat beragam motif yang melatarbelakanginya.</w:t>
      </w:r>
      <w:r w:rsidRPr="00BD4830">
        <w:rPr>
          <w:rStyle w:val="FootnoteReference"/>
          <w:rFonts w:ascii="Times New Roman" w:hAnsi="Times New Roman" w:cs="Times New Roman"/>
          <w:sz w:val="24"/>
          <w:szCs w:val="24"/>
        </w:rPr>
        <w:footnoteReference w:id="66"/>
      </w:r>
      <w:r>
        <w:rPr>
          <w:rFonts w:ascii="Times New Roman" w:hAnsi="Times New Roman" w:cs="Times New Roman"/>
          <w:sz w:val="24"/>
          <w:szCs w:val="24"/>
        </w:rPr>
        <w:t xml:space="preserve"> Djazuli Bachar mengatakan bahwa pada saat dimohonkan eksekusi atas grosse akta yang secara jalan pintas tanpa gugatan dan tidak tampak adanya sengketa, sebenarnya di belakang permohonan telah timbul sengketa yang tidak terbuka antara kreditur dengan debitur, karena debitur dianggap wanprestasi.</w:t>
      </w:r>
      <w:r>
        <w:rPr>
          <w:rStyle w:val="FootnoteReference"/>
          <w:rFonts w:ascii="Times New Roman" w:hAnsi="Times New Roman" w:cs="Times New Roman"/>
          <w:sz w:val="24"/>
          <w:szCs w:val="24"/>
        </w:rPr>
        <w:footnoteReference w:id="67"/>
      </w:r>
      <w:r>
        <w:rPr>
          <w:rFonts w:ascii="Times New Roman" w:hAnsi="Times New Roman" w:cs="Times New Roman"/>
          <w:sz w:val="24"/>
          <w:szCs w:val="24"/>
        </w:rPr>
        <w:t xml:space="preserve"> </w:t>
      </w:r>
      <w:proofErr w:type="gramStart"/>
      <w:r>
        <w:rPr>
          <w:rFonts w:ascii="Times New Roman" w:hAnsi="Times New Roman" w:cs="Times New Roman"/>
          <w:sz w:val="24"/>
          <w:szCs w:val="24"/>
          <w:lang w:val="en-US"/>
        </w:rPr>
        <w:t xml:space="preserve">Yahya Harahap menyebut sebagai gugatan </w:t>
      </w:r>
      <w:r>
        <w:rPr>
          <w:rFonts w:ascii="Times New Roman" w:hAnsi="Times New Roman" w:cs="Times New Roman"/>
          <w:i/>
          <w:sz w:val="24"/>
          <w:szCs w:val="24"/>
          <w:lang w:val="en-US"/>
        </w:rPr>
        <w:t>cont</w:t>
      </w:r>
      <w:r w:rsidRPr="00223B05">
        <w:rPr>
          <w:rFonts w:ascii="Times New Roman" w:hAnsi="Times New Roman" w:cs="Times New Roman"/>
          <w:i/>
          <w:sz w:val="24"/>
          <w:szCs w:val="24"/>
          <w:lang w:val="en-US"/>
        </w:rPr>
        <w:t>entiosa</w:t>
      </w:r>
      <w:r>
        <w:rPr>
          <w:rFonts w:ascii="Times New Roman" w:hAnsi="Times New Roman" w:cs="Times New Roman"/>
          <w:sz w:val="24"/>
          <w:szCs w:val="24"/>
          <w:lang w:val="en-US"/>
        </w:rPr>
        <w:t xml:space="preserve"> (kontentiosa), yaitu gugatan yang mengandung sengketa di antara para pihak.</w:t>
      </w:r>
      <w:proofErr w:type="gramEnd"/>
      <w:r>
        <w:rPr>
          <w:rFonts w:ascii="Times New Roman" w:hAnsi="Times New Roman" w:cs="Times New Roman"/>
          <w:sz w:val="24"/>
          <w:szCs w:val="24"/>
          <w:lang w:val="en-US"/>
        </w:rPr>
        <w:t xml:space="preserve"> Permasalahan yang </w:t>
      </w:r>
      <w:proofErr w:type="gramStart"/>
      <w:r>
        <w:rPr>
          <w:rFonts w:ascii="Times New Roman" w:hAnsi="Times New Roman" w:cs="Times New Roman"/>
          <w:sz w:val="24"/>
          <w:szCs w:val="24"/>
          <w:lang w:val="en-US"/>
        </w:rPr>
        <w:t>diajukan  dan</w:t>
      </w:r>
      <w:proofErr w:type="gramEnd"/>
      <w:r>
        <w:rPr>
          <w:rFonts w:ascii="Times New Roman" w:hAnsi="Times New Roman" w:cs="Times New Roman"/>
          <w:sz w:val="24"/>
          <w:szCs w:val="24"/>
          <w:lang w:val="en-US"/>
        </w:rPr>
        <w:t xml:space="preserve"> diminta untuk diselesaikan dalam gugatan, merupakan sengketa atau perselisihan di antara para pihak (</w:t>
      </w:r>
      <w:r w:rsidRPr="00223B05">
        <w:rPr>
          <w:rFonts w:ascii="Times New Roman" w:hAnsi="Times New Roman" w:cs="Times New Roman"/>
          <w:i/>
          <w:sz w:val="24"/>
          <w:szCs w:val="24"/>
          <w:lang w:val="en-US"/>
        </w:rPr>
        <w:t>between contending parties</w:t>
      </w:r>
      <w:r>
        <w:rPr>
          <w:rFonts w:ascii="Times New Roman" w:hAnsi="Times New Roman" w:cs="Times New Roman"/>
          <w:sz w:val="24"/>
          <w:szCs w:val="24"/>
          <w:lang w:val="en-US"/>
        </w:rPr>
        <w:t>).</w:t>
      </w:r>
      <w:r>
        <w:rPr>
          <w:rStyle w:val="FootnoteReference"/>
          <w:rFonts w:ascii="Times New Roman" w:hAnsi="Times New Roman" w:cs="Times New Roman"/>
          <w:sz w:val="24"/>
          <w:szCs w:val="24"/>
          <w:lang w:val="en-US"/>
        </w:rPr>
        <w:footnoteReference w:id="68"/>
      </w:r>
      <w:r>
        <w:rPr>
          <w:rFonts w:ascii="Times New Roman" w:hAnsi="Times New Roman" w:cs="Times New Roman"/>
          <w:sz w:val="24"/>
          <w:szCs w:val="24"/>
          <w:lang w:val="en-US"/>
        </w:rPr>
        <w:t xml:space="preserve"> </w:t>
      </w:r>
    </w:p>
    <w:p w:rsidR="00AA6F3E" w:rsidRPr="00C6690D" w:rsidRDefault="00AA6F3E" w:rsidP="00AA6F3E">
      <w:pPr>
        <w:pStyle w:val="ListParagraph"/>
        <w:spacing w:line="240" w:lineRule="auto"/>
        <w:ind w:left="0" w:firstLine="839"/>
        <w:jc w:val="both"/>
        <w:rPr>
          <w:rFonts w:ascii="Times New Roman" w:hAnsi="Times New Roman" w:cs="Times New Roman"/>
          <w:sz w:val="24"/>
          <w:szCs w:val="24"/>
        </w:rPr>
      </w:pPr>
    </w:p>
    <w:p w:rsidR="00AA6F3E" w:rsidRDefault="00AA6F3E" w:rsidP="00AA6F3E">
      <w:pPr>
        <w:pStyle w:val="ListParagraph"/>
        <w:spacing w:line="480" w:lineRule="auto"/>
        <w:ind w:left="0" w:firstLine="8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Bertitik tolak dari penjelasan di atas, yang dimaksud dengan gugatan perdata adalah gugatan </w:t>
      </w:r>
      <w:r w:rsidRPr="0060017A">
        <w:rPr>
          <w:rFonts w:ascii="Times New Roman" w:hAnsi="Times New Roman" w:cs="Times New Roman"/>
          <w:i/>
          <w:sz w:val="24"/>
          <w:szCs w:val="24"/>
          <w:lang w:val="en-US"/>
        </w:rPr>
        <w:t>contentiosa</w:t>
      </w:r>
      <w:r>
        <w:rPr>
          <w:rFonts w:ascii="Times New Roman" w:hAnsi="Times New Roman" w:cs="Times New Roman"/>
          <w:sz w:val="24"/>
          <w:szCs w:val="24"/>
          <w:lang w:val="en-US"/>
        </w:rPr>
        <w:t xml:space="preserve"> yang mengandung sengketa di antara para pihak yang berperkara yang pemeriksaan penyelesaiannya diberikan dan </w:t>
      </w:r>
      <w:proofErr w:type="gramStart"/>
      <w:r>
        <w:rPr>
          <w:rFonts w:ascii="Times New Roman" w:hAnsi="Times New Roman" w:cs="Times New Roman"/>
          <w:sz w:val="24"/>
          <w:szCs w:val="24"/>
          <w:lang w:val="en-US"/>
        </w:rPr>
        <w:t>diajukan  kepada</w:t>
      </w:r>
      <w:proofErr w:type="gramEnd"/>
      <w:r>
        <w:rPr>
          <w:rFonts w:ascii="Times New Roman" w:hAnsi="Times New Roman" w:cs="Times New Roman"/>
          <w:sz w:val="24"/>
          <w:szCs w:val="24"/>
          <w:lang w:val="en-US"/>
        </w:rPr>
        <w:t xml:space="preserve"> pengadilan dengan posisi para pihak :</w:t>
      </w:r>
    </w:p>
    <w:p w:rsidR="00AA6F3E" w:rsidRPr="00501846" w:rsidRDefault="00AA6F3E" w:rsidP="00AA6F3E">
      <w:pPr>
        <w:pStyle w:val="ListParagraph"/>
        <w:numPr>
          <w:ilvl w:val="0"/>
          <w:numId w:val="2"/>
        </w:numPr>
        <w:spacing w:line="480" w:lineRule="auto"/>
        <w:ind w:left="0" w:hanging="284"/>
        <w:jc w:val="both"/>
        <w:rPr>
          <w:rFonts w:ascii="Times New Roman" w:hAnsi="Times New Roman" w:cs="Times New Roman"/>
          <w:sz w:val="24"/>
          <w:szCs w:val="24"/>
          <w:lang w:val="en-US"/>
        </w:rPr>
      </w:pPr>
      <w:r w:rsidRPr="00501846">
        <w:rPr>
          <w:rFonts w:ascii="Times New Roman" w:hAnsi="Times New Roman" w:cs="Times New Roman"/>
          <w:sz w:val="24"/>
          <w:szCs w:val="24"/>
          <w:lang w:val="en-US"/>
        </w:rPr>
        <w:t>Yang mengajukan penyelesaian sengketa disebut dan bertindak sebagai penggugat (</w:t>
      </w:r>
      <w:r w:rsidRPr="00501846">
        <w:rPr>
          <w:rFonts w:ascii="Times New Roman" w:hAnsi="Times New Roman" w:cs="Times New Roman"/>
          <w:i/>
          <w:sz w:val="24"/>
          <w:szCs w:val="24"/>
          <w:lang w:val="en-US"/>
        </w:rPr>
        <w:t>plaintiff</w:t>
      </w:r>
      <w:r w:rsidRPr="00501846">
        <w:rPr>
          <w:rFonts w:ascii="Times New Roman" w:hAnsi="Times New Roman" w:cs="Times New Roman"/>
          <w:sz w:val="24"/>
          <w:szCs w:val="24"/>
          <w:lang w:val="en-US"/>
        </w:rPr>
        <w:t xml:space="preserve"> = </w:t>
      </w:r>
      <w:r w:rsidRPr="00501846">
        <w:rPr>
          <w:rFonts w:ascii="Times New Roman" w:hAnsi="Times New Roman" w:cs="Times New Roman"/>
          <w:i/>
          <w:sz w:val="24"/>
          <w:szCs w:val="24"/>
          <w:lang w:val="en-US"/>
        </w:rPr>
        <w:t>planctus, the party who institutes a legal action or claim</w:t>
      </w:r>
      <w:r w:rsidRPr="00501846">
        <w:rPr>
          <w:rFonts w:ascii="Times New Roman" w:hAnsi="Times New Roman" w:cs="Times New Roman"/>
          <w:sz w:val="24"/>
          <w:szCs w:val="24"/>
          <w:lang w:val="en-US"/>
        </w:rPr>
        <w:t>).</w:t>
      </w:r>
      <w:r>
        <w:rPr>
          <w:rStyle w:val="FootnoteReference"/>
          <w:rFonts w:ascii="Times New Roman" w:hAnsi="Times New Roman" w:cs="Times New Roman"/>
          <w:sz w:val="24"/>
          <w:szCs w:val="24"/>
          <w:lang w:val="en-US"/>
        </w:rPr>
        <w:footnoteReference w:id="69"/>
      </w:r>
    </w:p>
    <w:p w:rsidR="00AA6F3E" w:rsidRPr="001F782E" w:rsidRDefault="00AA6F3E" w:rsidP="00AA6F3E">
      <w:pPr>
        <w:pStyle w:val="ListParagraph"/>
        <w:numPr>
          <w:ilvl w:val="0"/>
          <w:numId w:val="2"/>
        </w:numPr>
        <w:spacing w:line="480" w:lineRule="auto"/>
        <w:ind w:left="0" w:hanging="284"/>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Sedangkan yang </w:t>
      </w:r>
      <w:proofErr w:type="gramStart"/>
      <w:r>
        <w:rPr>
          <w:rFonts w:ascii="Times New Roman" w:hAnsi="Times New Roman" w:cs="Times New Roman"/>
          <w:sz w:val="24"/>
          <w:szCs w:val="24"/>
          <w:lang w:val="en-US"/>
        </w:rPr>
        <w:t>ditarik  sebagai</w:t>
      </w:r>
      <w:proofErr w:type="gramEnd"/>
      <w:r>
        <w:rPr>
          <w:rFonts w:ascii="Times New Roman" w:hAnsi="Times New Roman" w:cs="Times New Roman"/>
          <w:sz w:val="24"/>
          <w:szCs w:val="24"/>
          <w:lang w:val="en-US"/>
        </w:rPr>
        <w:t xml:space="preserve"> pihak lawan dalam penyelesaian, disebut dan berkedudukan sebagai tergugat (</w:t>
      </w:r>
      <w:r w:rsidRPr="0060017A">
        <w:rPr>
          <w:rFonts w:ascii="Times New Roman" w:hAnsi="Times New Roman" w:cs="Times New Roman"/>
          <w:i/>
          <w:sz w:val="24"/>
          <w:szCs w:val="24"/>
          <w:lang w:val="en-US"/>
        </w:rPr>
        <w:t>defendant, the party against whom a civil action is brought</w:t>
      </w:r>
      <w:r>
        <w:rPr>
          <w:rFonts w:ascii="Times New Roman" w:hAnsi="Times New Roman" w:cs="Times New Roman"/>
          <w:sz w:val="24"/>
          <w:szCs w:val="24"/>
          <w:lang w:val="en-US"/>
        </w:rPr>
        <w:t>).</w:t>
      </w:r>
      <w:r>
        <w:rPr>
          <w:rStyle w:val="FootnoteReference"/>
          <w:rFonts w:ascii="Times New Roman" w:hAnsi="Times New Roman" w:cs="Times New Roman"/>
          <w:sz w:val="24"/>
          <w:szCs w:val="24"/>
          <w:lang w:val="en-US"/>
        </w:rPr>
        <w:footnoteReference w:id="70"/>
      </w:r>
    </w:p>
    <w:p w:rsidR="00AA6F3E" w:rsidRPr="000C78E7" w:rsidRDefault="00AA6F3E" w:rsidP="00AA6F3E">
      <w:pPr>
        <w:pStyle w:val="ListParagraph"/>
        <w:numPr>
          <w:ilvl w:val="0"/>
          <w:numId w:val="2"/>
        </w:numPr>
        <w:spacing w:line="480" w:lineRule="auto"/>
        <w:ind w:left="0" w:hanging="284"/>
        <w:jc w:val="both"/>
        <w:rPr>
          <w:rFonts w:ascii="Times New Roman" w:hAnsi="Times New Roman" w:cs="Times New Roman"/>
          <w:sz w:val="24"/>
          <w:szCs w:val="24"/>
          <w:lang w:val="en-US"/>
        </w:rPr>
      </w:pPr>
      <w:r>
        <w:rPr>
          <w:rFonts w:ascii="Times New Roman" w:hAnsi="Times New Roman" w:cs="Times New Roman"/>
          <w:sz w:val="24"/>
          <w:szCs w:val="24"/>
          <w:lang w:val="en-US"/>
        </w:rPr>
        <w:t>Permasalahan hukum yang diajukan ke pengadilan mengandung sengketa (</w:t>
      </w:r>
      <w:r w:rsidRPr="0060017A">
        <w:rPr>
          <w:rFonts w:ascii="Times New Roman" w:hAnsi="Times New Roman" w:cs="Times New Roman"/>
          <w:i/>
          <w:sz w:val="24"/>
          <w:szCs w:val="24"/>
          <w:lang w:val="en-US"/>
        </w:rPr>
        <w:t>disputes, differences</w:t>
      </w:r>
      <w:r>
        <w:rPr>
          <w:rFonts w:ascii="Times New Roman" w:hAnsi="Times New Roman" w:cs="Times New Roman"/>
          <w:sz w:val="24"/>
          <w:szCs w:val="24"/>
          <w:lang w:val="en-US"/>
        </w:rPr>
        <w:t>).</w:t>
      </w:r>
      <w:r>
        <w:rPr>
          <w:rStyle w:val="FootnoteReference"/>
          <w:rFonts w:ascii="Times New Roman" w:hAnsi="Times New Roman" w:cs="Times New Roman"/>
          <w:sz w:val="24"/>
          <w:szCs w:val="24"/>
          <w:lang w:val="en-US"/>
        </w:rPr>
        <w:footnoteReference w:id="71"/>
      </w:r>
    </w:p>
    <w:p w:rsidR="00AA6F3E" w:rsidRPr="000C78E7" w:rsidRDefault="00AA6F3E" w:rsidP="00AA6F3E">
      <w:pPr>
        <w:pStyle w:val="ListParagraph"/>
        <w:numPr>
          <w:ilvl w:val="0"/>
          <w:numId w:val="2"/>
        </w:numPr>
        <w:spacing w:line="480" w:lineRule="auto"/>
        <w:ind w:left="0" w:hanging="284"/>
        <w:jc w:val="both"/>
        <w:rPr>
          <w:rFonts w:ascii="Times New Roman" w:hAnsi="Times New Roman" w:cs="Times New Roman"/>
          <w:sz w:val="24"/>
          <w:szCs w:val="24"/>
          <w:lang w:val="en-US"/>
        </w:rPr>
      </w:pPr>
      <w:r>
        <w:rPr>
          <w:rFonts w:ascii="Times New Roman" w:hAnsi="Times New Roman" w:cs="Times New Roman"/>
          <w:sz w:val="24"/>
          <w:szCs w:val="24"/>
        </w:rPr>
        <w:t>Sengketa terjadi di antara para pihak, paling kurang di antara dua pihak.</w:t>
      </w:r>
    </w:p>
    <w:p w:rsidR="00AA6F3E" w:rsidRDefault="00AA6F3E" w:rsidP="00AA6F3E">
      <w:pPr>
        <w:pStyle w:val="ListParagraph"/>
        <w:numPr>
          <w:ilvl w:val="0"/>
          <w:numId w:val="2"/>
        </w:numPr>
        <w:spacing w:line="480" w:lineRule="auto"/>
        <w:ind w:left="0" w:hanging="284"/>
        <w:jc w:val="both"/>
        <w:rPr>
          <w:rFonts w:ascii="Times New Roman" w:hAnsi="Times New Roman" w:cs="Times New Roman"/>
          <w:sz w:val="24"/>
          <w:szCs w:val="24"/>
          <w:lang w:val="en-US"/>
        </w:rPr>
      </w:pPr>
      <w:r>
        <w:rPr>
          <w:rFonts w:ascii="Times New Roman" w:hAnsi="Times New Roman" w:cs="Times New Roman"/>
          <w:sz w:val="24"/>
          <w:szCs w:val="24"/>
        </w:rPr>
        <w:t>Berarti gugatan perdata bersifat partai (</w:t>
      </w:r>
      <w:r w:rsidRPr="006C28CA">
        <w:rPr>
          <w:rFonts w:ascii="Times New Roman" w:hAnsi="Times New Roman" w:cs="Times New Roman"/>
          <w:i/>
          <w:sz w:val="24"/>
          <w:szCs w:val="24"/>
        </w:rPr>
        <w:t>party</w:t>
      </w:r>
      <w:r>
        <w:rPr>
          <w:rFonts w:ascii="Times New Roman" w:hAnsi="Times New Roman" w:cs="Times New Roman"/>
          <w:sz w:val="24"/>
          <w:szCs w:val="24"/>
        </w:rPr>
        <w:t>), dengan komposisi, pihak yang satu bertindak dan berkedudukan sebagai penggugat dan pihak yang lain berkedudukan sebagai tergugat.</w:t>
      </w:r>
    </w:p>
    <w:p w:rsidR="00AA6F3E" w:rsidRDefault="00AA6F3E" w:rsidP="00AA6F3E">
      <w:pPr>
        <w:pStyle w:val="ListParagraph"/>
        <w:spacing w:line="480" w:lineRule="auto"/>
        <w:ind w:left="0" w:firstLine="840"/>
        <w:jc w:val="both"/>
        <w:rPr>
          <w:rFonts w:ascii="Times New Roman" w:hAnsi="Times New Roman" w:cs="Times New Roman"/>
          <w:sz w:val="24"/>
          <w:szCs w:val="24"/>
        </w:rPr>
      </w:pPr>
      <w:r>
        <w:rPr>
          <w:rFonts w:ascii="Times New Roman" w:hAnsi="Times New Roman" w:cs="Times New Roman"/>
          <w:sz w:val="24"/>
          <w:szCs w:val="24"/>
        </w:rPr>
        <w:t xml:space="preserve">Gugatan dalam perjanjian perjanjian kredit yang diikuti dengan pemberian hak tanggungan biasanya berupa gugatan perbuatan melawan hukum (PMH) dan gugatan wanprestasi. Gugatan perbuatan melawan hukum biasanya diajukan oleh pihak debitur pemberi hak tanggungan terhadap kreditur pemegang hak tanggungan. Sedangkan gugatan wanprestasi, biasanya diajukan oleh kreditur pemegang hak tanggungan terhadap debitur pemberi hak tanggungan. </w:t>
      </w:r>
    </w:p>
    <w:p w:rsidR="00AA6F3E" w:rsidRDefault="00AA6F3E" w:rsidP="00AA6F3E">
      <w:pPr>
        <w:pStyle w:val="ListParagraph"/>
        <w:spacing w:line="480" w:lineRule="auto"/>
        <w:ind w:left="0" w:firstLine="840"/>
        <w:jc w:val="both"/>
        <w:rPr>
          <w:rFonts w:ascii="Times New Roman" w:hAnsi="Times New Roman" w:cs="Times New Roman"/>
          <w:sz w:val="24"/>
          <w:szCs w:val="24"/>
        </w:rPr>
      </w:pPr>
      <w:r>
        <w:rPr>
          <w:rFonts w:ascii="Times New Roman" w:hAnsi="Times New Roman" w:cs="Times New Roman"/>
          <w:sz w:val="24"/>
          <w:szCs w:val="24"/>
        </w:rPr>
        <w:t>Gugatan ditujukan dan dialamatkan kepada pengadilan negeri sesuai dengan kompetensi absolut dan kompetensi relatifnya. Kompetensi absolut atau yurisdiksi absolut berdasarkan Pasal 10 ayat (2) Undang-Undang Nomor  4 Tahun 2004 tentang Kekuasaan Kehakiman, bahwa kekuasaan kehakiman (</w:t>
      </w:r>
      <w:r w:rsidRPr="00A25893">
        <w:rPr>
          <w:rFonts w:ascii="Times New Roman" w:hAnsi="Times New Roman" w:cs="Times New Roman"/>
          <w:i/>
          <w:sz w:val="24"/>
          <w:szCs w:val="24"/>
        </w:rPr>
        <w:t>Judicial Power</w:t>
      </w:r>
      <w:r>
        <w:rPr>
          <w:rFonts w:ascii="Times New Roman" w:hAnsi="Times New Roman" w:cs="Times New Roman"/>
          <w:sz w:val="24"/>
          <w:szCs w:val="24"/>
        </w:rPr>
        <w:t xml:space="preserve">) berada di bawah Mahkamah Agung (MA) dan dilaksanakan oleh empat (4) lingkungan peradilan yang terdiri dari Peradilan Umum, Peradilan Agama, Peradilan Militer, dan Peradilan Tata Usaha Negara. Kompetensi relatif </w:t>
      </w:r>
      <w:r>
        <w:rPr>
          <w:rFonts w:ascii="Times New Roman" w:hAnsi="Times New Roman" w:cs="Times New Roman"/>
          <w:sz w:val="24"/>
          <w:szCs w:val="24"/>
        </w:rPr>
        <w:lastRenderedPageBreak/>
        <w:t xml:space="preserve">Pengadilan Negeri adalah kotamadya atau di ibukota kabupaten. Sehingga kewenangan mengadili pengadilan negeri hanya terbatas pada daerah hukumnya, di luar itu tidak berwenang. </w:t>
      </w:r>
    </w:p>
    <w:p w:rsidR="00AA6F3E" w:rsidRDefault="00AA6F3E" w:rsidP="00AA6F3E">
      <w:pPr>
        <w:pStyle w:val="ListParagraph"/>
        <w:spacing w:line="480" w:lineRule="auto"/>
        <w:ind w:left="0" w:firstLine="840"/>
        <w:jc w:val="both"/>
        <w:rPr>
          <w:rFonts w:ascii="Times New Roman" w:hAnsi="Times New Roman" w:cs="Times New Roman"/>
          <w:sz w:val="24"/>
          <w:szCs w:val="24"/>
        </w:rPr>
      </w:pPr>
      <w:r>
        <w:rPr>
          <w:rFonts w:ascii="Times New Roman" w:hAnsi="Times New Roman" w:cs="Times New Roman"/>
          <w:sz w:val="24"/>
          <w:szCs w:val="24"/>
        </w:rPr>
        <w:t>Berdasarkan kompetensi relatif pengadilan negeri, pengajuan gugatan adalah pengadilan negeri yang berkedudukan di wilayah atau daerah hukum tempat tinggal tergugat (</w:t>
      </w:r>
      <w:r w:rsidRPr="00A33971">
        <w:rPr>
          <w:rFonts w:ascii="Times New Roman" w:hAnsi="Times New Roman" w:cs="Times New Roman"/>
          <w:i/>
          <w:sz w:val="24"/>
          <w:szCs w:val="24"/>
        </w:rPr>
        <w:t>actor sequitor forum rei</w:t>
      </w:r>
      <w:r>
        <w:rPr>
          <w:rFonts w:ascii="Times New Roman" w:hAnsi="Times New Roman" w:cs="Times New Roman"/>
          <w:sz w:val="24"/>
          <w:szCs w:val="24"/>
        </w:rPr>
        <w:t xml:space="preserve">). Asas </w:t>
      </w:r>
      <w:r w:rsidRPr="00A33971">
        <w:rPr>
          <w:rFonts w:ascii="Times New Roman" w:hAnsi="Times New Roman" w:cs="Times New Roman"/>
          <w:i/>
          <w:sz w:val="24"/>
          <w:szCs w:val="24"/>
        </w:rPr>
        <w:t>actor sequitor forum rei</w:t>
      </w:r>
      <w:r>
        <w:rPr>
          <w:rFonts w:ascii="Times New Roman" w:hAnsi="Times New Roman" w:cs="Times New Roman"/>
          <w:sz w:val="24"/>
          <w:szCs w:val="24"/>
        </w:rPr>
        <w:t xml:space="preserve"> dapat diterapkan apabila objek yang disengketakan berupa benda bergerak, sesuai dengan Pasal 118 ayat (3) HIR yang menegaskan bahwa a</w:t>
      </w:r>
      <w:r w:rsidRPr="0085613C">
        <w:rPr>
          <w:rFonts w:ascii="Times New Roman" w:hAnsi="Times New Roman" w:cs="Times New Roman"/>
          <w:sz w:val="24"/>
          <w:szCs w:val="24"/>
        </w:rPr>
        <w:t>pabila objek gugatan barang tidak bergerak, PN yang berwenang mengadili  adalah PN yang daerah hukumnya barang tersebut terletak.  Ini sesuai dengan ketentuan Pasal 99 ayat (1) Rv yang berbunyi “seorang tergugat dalam perkara pribadi yang murni mengenai benda-benda bergerak dituntut di hadapan hakim di tempat tinggalnya</w:t>
      </w:r>
      <w:r>
        <w:rPr>
          <w:rFonts w:ascii="Times New Roman" w:hAnsi="Times New Roman" w:cs="Times New Roman"/>
          <w:sz w:val="24"/>
          <w:szCs w:val="24"/>
        </w:rPr>
        <w:t>.</w:t>
      </w:r>
    </w:p>
    <w:p w:rsidR="00AA6F3E" w:rsidRDefault="00AA6F3E" w:rsidP="00AA6F3E">
      <w:pPr>
        <w:pStyle w:val="ListParagraph"/>
        <w:spacing w:line="480" w:lineRule="auto"/>
        <w:ind w:left="0" w:firstLine="840"/>
        <w:jc w:val="both"/>
        <w:rPr>
          <w:rFonts w:ascii="Times New Roman" w:hAnsi="Times New Roman" w:cs="Times New Roman"/>
          <w:sz w:val="24"/>
          <w:szCs w:val="24"/>
        </w:rPr>
      </w:pPr>
      <w:r>
        <w:rPr>
          <w:rFonts w:ascii="Times New Roman" w:hAnsi="Times New Roman" w:cs="Times New Roman"/>
          <w:sz w:val="24"/>
          <w:szCs w:val="24"/>
        </w:rPr>
        <w:t>Gugatan yang diajukan oleh debitur kepada Pengadilan Negeri meliputi pembatalan atas perjanjian kredit, SKMHT, APHT dan Sertipikat Hak Tanggungan. Gugatan tersebut disertai permohonan kepada Majelis Hakim Pengadilan Negeri untuk menyatakan dokumen-dokumen tersebut batal demi hukum dan tidak mempunyai kekuatan mengikat. Menurut Titik Triwulan, salah satu penyebab hapusnya perjanjian adalah diputuskan oleh Hakim.</w:t>
      </w:r>
      <w:r>
        <w:rPr>
          <w:rStyle w:val="FootnoteReference"/>
          <w:rFonts w:ascii="Times New Roman" w:hAnsi="Times New Roman" w:cs="Times New Roman"/>
          <w:sz w:val="24"/>
          <w:szCs w:val="24"/>
        </w:rPr>
        <w:footnoteReference w:id="72"/>
      </w:r>
      <w:r>
        <w:rPr>
          <w:rFonts w:ascii="Times New Roman" w:hAnsi="Times New Roman" w:cs="Times New Roman"/>
          <w:sz w:val="24"/>
          <w:szCs w:val="24"/>
        </w:rPr>
        <w:t xml:space="preserve"> Pengajuan pembatalan terhadap pembebanan hak tanggungan merupakan hal yang bertentangan dengan “</w:t>
      </w:r>
      <w:r w:rsidRPr="006C5891">
        <w:rPr>
          <w:rFonts w:ascii="Times New Roman" w:hAnsi="Times New Roman" w:cs="Times New Roman"/>
          <w:i/>
          <w:sz w:val="24"/>
          <w:szCs w:val="24"/>
        </w:rPr>
        <w:t>tittle eksekutorial</w:t>
      </w:r>
      <w:r>
        <w:rPr>
          <w:rFonts w:ascii="Times New Roman" w:hAnsi="Times New Roman" w:cs="Times New Roman"/>
          <w:sz w:val="24"/>
          <w:szCs w:val="24"/>
        </w:rPr>
        <w:t xml:space="preserve">” hak tanggungan, di mana hak tanggungan memiliki kekuatan yang sama dengan putusan hakim. Setelah </w:t>
      </w:r>
      <w:r>
        <w:rPr>
          <w:rFonts w:ascii="Times New Roman" w:hAnsi="Times New Roman" w:cs="Times New Roman"/>
          <w:sz w:val="24"/>
          <w:szCs w:val="24"/>
        </w:rPr>
        <w:lastRenderedPageBreak/>
        <w:t xml:space="preserve">pengajuan gugatan diterima oleh pengadilan negeri, maka akan dilanjutkan dengan proses pemanggilan dan pemberitahuan, persidangan dan proses terakhir berupa putusan hakim. Proses persidangan terdiri dari prosedur mediasi, penyitaan, proses acara verstek, eksepsi dan bantahan pokok perkara, pembuktian, pemeriksaan setempat dan pendapat ahli. Tahap terakhir adalah putusan pengadilan dan dilajutkan dengan pelaksanaan putusan pengadilan. </w:t>
      </w:r>
    </w:p>
    <w:p w:rsidR="00AA6F3E" w:rsidRDefault="00AA6F3E" w:rsidP="00AA6F3E">
      <w:pPr>
        <w:pStyle w:val="ListParagraph"/>
        <w:spacing w:line="480" w:lineRule="auto"/>
        <w:ind w:left="0" w:firstLine="840"/>
        <w:jc w:val="both"/>
        <w:rPr>
          <w:rFonts w:ascii="Times New Roman" w:hAnsi="Times New Roman" w:cs="Times New Roman"/>
          <w:sz w:val="24"/>
          <w:szCs w:val="24"/>
        </w:rPr>
      </w:pPr>
      <w:r>
        <w:rPr>
          <w:rFonts w:ascii="Times New Roman" w:hAnsi="Times New Roman" w:cs="Times New Roman"/>
          <w:sz w:val="24"/>
          <w:szCs w:val="24"/>
        </w:rPr>
        <w:t>Proses pemanggilan dan pemberitahuan merupakan awal proses pemeriksaan persidangan pada tingkat pertama di pengadilan negeri, tingkat banding di pengadilan tinggi, dan tingkat kasasi di Mahkamah Agung. Sehingga proses pemeriksaan dapat berjalan menurut tata cara  yang ditentukan, sangat bergantung pada validitas (</w:t>
      </w:r>
      <w:r w:rsidRPr="009504D2">
        <w:rPr>
          <w:rFonts w:ascii="Times New Roman" w:hAnsi="Times New Roman" w:cs="Times New Roman"/>
          <w:i/>
          <w:sz w:val="24"/>
          <w:szCs w:val="24"/>
        </w:rPr>
        <w:t>validity</w:t>
      </w:r>
      <w:r>
        <w:rPr>
          <w:rFonts w:ascii="Times New Roman" w:hAnsi="Times New Roman" w:cs="Times New Roman"/>
          <w:sz w:val="24"/>
          <w:szCs w:val="24"/>
        </w:rPr>
        <w:t>) atau sah tidaknya pemanggilan dan pemberitahuan yang dilakukan oleh juru sita. Panggilan dalam hukum acara perdata  adalah menyampaikan secara resmi (</w:t>
      </w:r>
      <w:r w:rsidRPr="007E2270">
        <w:rPr>
          <w:rFonts w:ascii="Times New Roman" w:hAnsi="Times New Roman" w:cs="Times New Roman"/>
          <w:i/>
          <w:sz w:val="24"/>
          <w:szCs w:val="24"/>
        </w:rPr>
        <w:t>official</w:t>
      </w:r>
      <w:r>
        <w:rPr>
          <w:rFonts w:ascii="Times New Roman" w:hAnsi="Times New Roman" w:cs="Times New Roman"/>
          <w:sz w:val="24"/>
          <w:szCs w:val="24"/>
        </w:rPr>
        <w:t>) dan patut (</w:t>
      </w:r>
      <w:r w:rsidRPr="007E2270">
        <w:rPr>
          <w:rFonts w:ascii="Times New Roman" w:hAnsi="Times New Roman" w:cs="Times New Roman"/>
          <w:i/>
          <w:sz w:val="24"/>
          <w:szCs w:val="24"/>
        </w:rPr>
        <w:t>properly</w:t>
      </w:r>
      <w:r>
        <w:rPr>
          <w:rFonts w:ascii="Times New Roman" w:hAnsi="Times New Roman" w:cs="Times New Roman"/>
          <w:sz w:val="24"/>
          <w:szCs w:val="24"/>
        </w:rPr>
        <w:t>) kepada pihak-pihak yang terlibat dalam suatu perkara di pengadilan, agar memenuhi dan melaksanakan hal-hal yang diminta dab diperintahkan oleh majelis hakim pengadilan. Pemanggilan atau panggilan (</w:t>
      </w:r>
      <w:r w:rsidRPr="007E2270">
        <w:rPr>
          <w:rFonts w:ascii="Times New Roman" w:hAnsi="Times New Roman" w:cs="Times New Roman"/>
          <w:i/>
          <w:sz w:val="24"/>
          <w:szCs w:val="24"/>
        </w:rPr>
        <w:t>convocation, convocatie</w:t>
      </w:r>
      <w:r>
        <w:rPr>
          <w:rFonts w:ascii="Times New Roman" w:hAnsi="Times New Roman" w:cs="Times New Roman"/>
          <w:sz w:val="24"/>
          <w:szCs w:val="24"/>
        </w:rPr>
        <w:t>) dalam arti sempit dan sehari-hari sering diidentikkan terbatas pada perintah menghadiri sidang pada hari yang ditentukan. Akan tetapi pengertian panggilan menurut Pasal 388 HIR meliputi makna dan cakupan yang lebih luas, yaitu :</w:t>
      </w:r>
      <w:r>
        <w:rPr>
          <w:rStyle w:val="FootnoteReference"/>
          <w:rFonts w:ascii="Times New Roman" w:hAnsi="Times New Roman" w:cs="Times New Roman"/>
          <w:sz w:val="24"/>
          <w:szCs w:val="24"/>
        </w:rPr>
        <w:footnoteReference w:id="73"/>
      </w:r>
    </w:p>
    <w:p w:rsidR="00AA6F3E" w:rsidRDefault="00AA6F3E" w:rsidP="00AA6F3E">
      <w:pPr>
        <w:pStyle w:val="ListParagraph"/>
        <w:numPr>
          <w:ilvl w:val="0"/>
          <w:numId w:val="14"/>
        </w:numPr>
        <w:spacing w:line="480" w:lineRule="auto"/>
        <w:ind w:left="0"/>
        <w:jc w:val="both"/>
        <w:rPr>
          <w:rFonts w:ascii="Times New Roman" w:hAnsi="Times New Roman" w:cs="Times New Roman"/>
          <w:sz w:val="24"/>
          <w:szCs w:val="24"/>
        </w:rPr>
      </w:pPr>
      <w:r>
        <w:rPr>
          <w:rFonts w:ascii="Times New Roman" w:hAnsi="Times New Roman" w:cs="Times New Roman"/>
          <w:sz w:val="24"/>
          <w:szCs w:val="24"/>
        </w:rPr>
        <w:t>Panggilan sidang pertama kepada penggugat dan tergugat.</w:t>
      </w:r>
    </w:p>
    <w:p w:rsidR="00AA6F3E" w:rsidRDefault="00AA6F3E" w:rsidP="00AA6F3E">
      <w:pPr>
        <w:pStyle w:val="ListParagraph"/>
        <w:numPr>
          <w:ilvl w:val="0"/>
          <w:numId w:val="14"/>
        </w:numPr>
        <w:spacing w:line="48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Panggilan menghadiri sidang lanjutan kepada pihak-pihak atau salah satu pihak apabila pada sidang yang lalu tidak hadir baik tanpa alasan yang sah atau berdasarkan alasan yang sah.</w:t>
      </w:r>
    </w:p>
    <w:p w:rsidR="00AA6F3E" w:rsidRDefault="00AA6F3E" w:rsidP="00AA6F3E">
      <w:pPr>
        <w:pStyle w:val="ListParagraph"/>
        <w:numPr>
          <w:ilvl w:val="0"/>
          <w:numId w:val="14"/>
        </w:numPr>
        <w:spacing w:line="480" w:lineRule="auto"/>
        <w:ind w:left="0"/>
        <w:jc w:val="both"/>
        <w:rPr>
          <w:rFonts w:ascii="Times New Roman" w:hAnsi="Times New Roman" w:cs="Times New Roman"/>
          <w:sz w:val="24"/>
          <w:szCs w:val="24"/>
        </w:rPr>
      </w:pPr>
      <w:r>
        <w:rPr>
          <w:rFonts w:ascii="Times New Roman" w:hAnsi="Times New Roman" w:cs="Times New Roman"/>
          <w:sz w:val="24"/>
          <w:szCs w:val="24"/>
        </w:rPr>
        <w:t>Panggilan terhadap saksi yang diperlukan atas permintaan salah satu pihak berdasarkan Pasal 139 HIR.</w:t>
      </w:r>
    </w:p>
    <w:p w:rsidR="00AA6F3E" w:rsidRDefault="00AA6F3E" w:rsidP="00AA6F3E">
      <w:pPr>
        <w:pStyle w:val="ListParagraph"/>
        <w:numPr>
          <w:ilvl w:val="0"/>
          <w:numId w:val="14"/>
        </w:numPr>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Tindakan hukum pemberitahuan atau </w:t>
      </w:r>
      <w:r w:rsidRPr="00B610B1">
        <w:rPr>
          <w:rFonts w:ascii="Times New Roman" w:hAnsi="Times New Roman" w:cs="Times New Roman"/>
          <w:i/>
          <w:sz w:val="24"/>
          <w:szCs w:val="24"/>
        </w:rPr>
        <w:t>aanzegging</w:t>
      </w:r>
      <w:r>
        <w:rPr>
          <w:rFonts w:ascii="Times New Roman" w:hAnsi="Times New Roman" w:cs="Times New Roman"/>
          <w:sz w:val="24"/>
          <w:szCs w:val="24"/>
        </w:rPr>
        <w:t xml:space="preserve"> (</w:t>
      </w:r>
      <w:r w:rsidRPr="00B610B1">
        <w:rPr>
          <w:rFonts w:ascii="Times New Roman" w:hAnsi="Times New Roman" w:cs="Times New Roman"/>
          <w:i/>
          <w:sz w:val="24"/>
          <w:szCs w:val="24"/>
        </w:rPr>
        <w:t>notification</w:t>
      </w:r>
      <w:r>
        <w:rPr>
          <w:rFonts w:ascii="Times New Roman" w:hAnsi="Times New Roman" w:cs="Times New Roman"/>
          <w:sz w:val="24"/>
          <w:szCs w:val="24"/>
        </w:rPr>
        <w:t xml:space="preserve">) berupa pemberitahuan putusan PT dan MA, permintaan banding kepada terbanding, memori banding dan kontra memori banding dan permintaan kasasi dan memori kasasi kepada termohon kasasi.  </w:t>
      </w:r>
    </w:p>
    <w:p w:rsidR="00AA6F3E" w:rsidRDefault="00AA6F3E" w:rsidP="00AA6F3E">
      <w:pPr>
        <w:pStyle w:val="ListParagraph"/>
        <w:spacing w:line="480" w:lineRule="auto"/>
        <w:ind w:left="0" w:firstLine="840"/>
        <w:jc w:val="both"/>
        <w:rPr>
          <w:rFonts w:ascii="Times New Roman" w:hAnsi="Times New Roman" w:cs="Times New Roman"/>
          <w:sz w:val="24"/>
          <w:szCs w:val="24"/>
        </w:rPr>
      </w:pPr>
      <w:r>
        <w:rPr>
          <w:rFonts w:ascii="Times New Roman" w:hAnsi="Times New Roman" w:cs="Times New Roman"/>
          <w:sz w:val="24"/>
          <w:szCs w:val="24"/>
        </w:rPr>
        <w:t>Prosedur mediasi merupakan cara yang ditempuh oleh para pihak (tergugat dan penggugat) untuk menyelesaikan sengketa sebelum memasuki proses persidangan. Mediasi ditempuh karena penyelesaian melalui lembaga peradilan cenderung lama dan tidak efektif. Saat ini mulai berkembang cara penyelesaian sengketa (</w:t>
      </w:r>
      <w:r w:rsidRPr="007E2270">
        <w:rPr>
          <w:rFonts w:ascii="Times New Roman" w:hAnsi="Times New Roman" w:cs="Times New Roman"/>
          <w:i/>
          <w:sz w:val="24"/>
          <w:szCs w:val="24"/>
        </w:rPr>
        <w:t>settlement method</w:t>
      </w:r>
      <w:r>
        <w:rPr>
          <w:rFonts w:ascii="Times New Roman" w:hAnsi="Times New Roman" w:cs="Times New Roman"/>
          <w:sz w:val="24"/>
          <w:szCs w:val="24"/>
        </w:rPr>
        <w:t xml:space="preserve">) di luar lembaga peradilan dan dikenal dengan istilah </w:t>
      </w:r>
      <w:r w:rsidRPr="007E2270">
        <w:rPr>
          <w:rFonts w:ascii="Times New Roman" w:hAnsi="Times New Roman" w:cs="Times New Roman"/>
          <w:i/>
          <w:sz w:val="24"/>
          <w:szCs w:val="24"/>
        </w:rPr>
        <w:t>Alternative Dispute Resolution</w:t>
      </w:r>
      <w:r>
        <w:rPr>
          <w:rFonts w:ascii="Times New Roman" w:hAnsi="Times New Roman" w:cs="Times New Roman"/>
          <w:sz w:val="24"/>
          <w:szCs w:val="24"/>
        </w:rPr>
        <w:t xml:space="preserve"> (ADR). Beberapa bentuk ADR, berupa mediasi (</w:t>
      </w:r>
      <w:r w:rsidRPr="006D1FA6">
        <w:rPr>
          <w:rFonts w:ascii="Times New Roman" w:hAnsi="Times New Roman" w:cs="Times New Roman"/>
          <w:i/>
          <w:sz w:val="24"/>
          <w:szCs w:val="24"/>
        </w:rPr>
        <w:t>mediation</w:t>
      </w:r>
      <w:r>
        <w:rPr>
          <w:rFonts w:ascii="Times New Roman" w:hAnsi="Times New Roman" w:cs="Times New Roman"/>
          <w:sz w:val="24"/>
          <w:szCs w:val="24"/>
        </w:rPr>
        <w:t>), konsiliasi (</w:t>
      </w:r>
      <w:r w:rsidRPr="006D1FA6">
        <w:rPr>
          <w:rFonts w:ascii="Times New Roman" w:hAnsi="Times New Roman" w:cs="Times New Roman"/>
          <w:i/>
          <w:sz w:val="24"/>
          <w:szCs w:val="24"/>
        </w:rPr>
        <w:t>conciliation</w:t>
      </w:r>
      <w:r>
        <w:rPr>
          <w:rFonts w:ascii="Times New Roman" w:hAnsi="Times New Roman" w:cs="Times New Roman"/>
          <w:sz w:val="24"/>
          <w:szCs w:val="24"/>
        </w:rPr>
        <w:t xml:space="preserve">), </w:t>
      </w:r>
      <w:r w:rsidRPr="006D1FA6">
        <w:rPr>
          <w:rFonts w:ascii="Times New Roman" w:hAnsi="Times New Roman" w:cs="Times New Roman"/>
          <w:i/>
          <w:sz w:val="24"/>
          <w:szCs w:val="24"/>
        </w:rPr>
        <w:t>expert determination</w:t>
      </w:r>
      <w:r>
        <w:rPr>
          <w:rFonts w:ascii="Times New Roman" w:hAnsi="Times New Roman" w:cs="Times New Roman"/>
          <w:sz w:val="24"/>
          <w:szCs w:val="24"/>
        </w:rPr>
        <w:t xml:space="preserve"> dan </w:t>
      </w:r>
      <w:r w:rsidRPr="006D1FA6">
        <w:rPr>
          <w:rFonts w:ascii="Times New Roman" w:hAnsi="Times New Roman" w:cs="Times New Roman"/>
          <w:i/>
          <w:sz w:val="24"/>
          <w:szCs w:val="24"/>
        </w:rPr>
        <w:t>mini trial</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74"/>
      </w:r>
      <w:r>
        <w:rPr>
          <w:rFonts w:ascii="Times New Roman" w:hAnsi="Times New Roman" w:cs="Times New Roman"/>
          <w:sz w:val="24"/>
          <w:szCs w:val="24"/>
        </w:rPr>
        <w:t xml:space="preserve"> Mediasi diatur dalam Pasal 130 HIR, Pasal 145 RBG dan PERMA No. 02 Tahun 2003 tentang Prosedur Mediasi di Pengadilan. Produk hukum proses mediasi di pengadilan adalah berupa Akta Perdamaian. Menurut Pasal 1858 KUHPerdata, perdamaian di antara pihak  sama kekuatannya  seperti putusan hakim yang penghabisan. Demikian halnya dengan pasal 130 ayat (2) HIR juga menegaskan bahwa putusan akta perdamaian memiliki kekuatan yang </w:t>
      </w:r>
      <w:r>
        <w:rPr>
          <w:rFonts w:ascii="Times New Roman" w:hAnsi="Times New Roman" w:cs="Times New Roman"/>
          <w:sz w:val="24"/>
          <w:szCs w:val="24"/>
        </w:rPr>
        <w:lastRenderedPageBreak/>
        <w:t>sama seperti putusan yang berkekuatan hukum tetap. Artinya, putusan akta perdamaian memiliki kekuatan eksekutorial (</w:t>
      </w:r>
      <w:r w:rsidRPr="00C428B3">
        <w:rPr>
          <w:rFonts w:ascii="Times New Roman" w:hAnsi="Times New Roman" w:cs="Times New Roman"/>
          <w:i/>
          <w:sz w:val="24"/>
          <w:szCs w:val="24"/>
        </w:rPr>
        <w:t>executorial kracht</w:t>
      </w:r>
      <w:r>
        <w:rPr>
          <w:rFonts w:ascii="Times New Roman" w:hAnsi="Times New Roman" w:cs="Times New Roman"/>
          <w:sz w:val="24"/>
          <w:szCs w:val="24"/>
        </w:rPr>
        <w:t xml:space="preserve">). </w:t>
      </w:r>
    </w:p>
    <w:p w:rsidR="00AA6F3E" w:rsidRDefault="00AA6F3E" w:rsidP="00AA6F3E">
      <w:pPr>
        <w:pStyle w:val="ListParagraph"/>
        <w:spacing w:line="480" w:lineRule="auto"/>
        <w:ind w:left="0" w:firstLine="840"/>
        <w:jc w:val="both"/>
        <w:rPr>
          <w:rFonts w:ascii="Times New Roman" w:hAnsi="Times New Roman" w:cs="Times New Roman"/>
          <w:sz w:val="24"/>
          <w:szCs w:val="24"/>
        </w:rPr>
      </w:pPr>
      <w:r>
        <w:rPr>
          <w:rFonts w:ascii="Times New Roman" w:hAnsi="Times New Roman" w:cs="Times New Roman"/>
          <w:sz w:val="24"/>
          <w:szCs w:val="24"/>
        </w:rPr>
        <w:t xml:space="preserve">Jika proses mediasi tidak dapat menghasilkan sebuah perdamaian, maka akan dilanjutkan ke proses persidangan. Materi gugatan debitur maupun kreditur selalu mengandung permohonan tindakan sita atau penyitaan. Penyitaan berasal dari terminologi </w:t>
      </w:r>
      <w:r w:rsidRPr="0029165D">
        <w:rPr>
          <w:rFonts w:ascii="Times New Roman" w:hAnsi="Times New Roman" w:cs="Times New Roman"/>
          <w:i/>
          <w:sz w:val="24"/>
          <w:szCs w:val="24"/>
        </w:rPr>
        <w:t>beslag</w:t>
      </w:r>
      <w:r>
        <w:rPr>
          <w:rFonts w:ascii="Times New Roman" w:hAnsi="Times New Roman" w:cs="Times New Roman"/>
          <w:sz w:val="24"/>
          <w:szCs w:val="24"/>
        </w:rPr>
        <w:t xml:space="preserve"> (Bahasa Belanda) yang dalam Bahasa Indonesia menjadi </w:t>
      </w:r>
      <w:r w:rsidRPr="00E00B68">
        <w:rPr>
          <w:rFonts w:ascii="Times New Roman" w:hAnsi="Times New Roman" w:cs="Times New Roman"/>
          <w:i/>
          <w:sz w:val="24"/>
          <w:szCs w:val="24"/>
        </w:rPr>
        <w:t>beslah</w:t>
      </w:r>
      <w:r>
        <w:rPr>
          <w:rFonts w:ascii="Times New Roman" w:hAnsi="Times New Roman" w:cs="Times New Roman"/>
          <w:sz w:val="24"/>
          <w:szCs w:val="24"/>
        </w:rPr>
        <w:t xml:space="preserve"> dan istilah bakunya adalah sita atau penyitaan.</w:t>
      </w:r>
      <w:r>
        <w:rPr>
          <w:rStyle w:val="FootnoteReference"/>
          <w:rFonts w:ascii="Times New Roman" w:hAnsi="Times New Roman" w:cs="Times New Roman"/>
          <w:sz w:val="24"/>
          <w:szCs w:val="24"/>
        </w:rPr>
        <w:footnoteReference w:id="75"/>
      </w:r>
      <w:r>
        <w:rPr>
          <w:rFonts w:ascii="Times New Roman" w:hAnsi="Times New Roman" w:cs="Times New Roman"/>
          <w:sz w:val="24"/>
          <w:szCs w:val="24"/>
        </w:rPr>
        <w:t xml:space="preserve"> </w:t>
      </w:r>
    </w:p>
    <w:p w:rsidR="00AA6F3E" w:rsidRDefault="00AA6F3E" w:rsidP="00AA6F3E">
      <w:pPr>
        <w:pStyle w:val="ListParagraph"/>
        <w:spacing w:line="480" w:lineRule="auto"/>
        <w:ind w:left="0" w:firstLine="839"/>
        <w:jc w:val="both"/>
        <w:rPr>
          <w:rFonts w:ascii="Times New Roman" w:hAnsi="Times New Roman" w:cs="Times New Roman"/>
          <w:sz w:val="24"/>
          <w:szCs w:val="24"/>
        </w:rPr>
      </w:pPr>
      <w:r>
        <w:rPr>
          <w:rFonts w:ascii="Times New Roman" w:hAnsi="Times New Roman" w:cs="Times New Roman"/>
          <w:sz w:val="24"/>
          <w:szCs w:val="24"/>
        </w:rPr>
        <w:t xml:space="preserve">Yahya Harahap mengemukakan bahwa penyitaan mengandung esensi fundamental yang dapat digunakan sebagai landasan penerapan penyitaan. Sita merupakan tindakan eksepsional atau salah satu acara mengadili yang bersifat istimewa. Disebut istimewa karena sebelum pengadilan sendiri mengetahui secara jelas dan komplit dasar-dasar gugatan, pengadilan telah bertindak menempatkan  harta kekayaan tergugat  di bawah penjagaannya, seolah-olah harta itu diasingkan  dari penguasaan tergugat sebagai pemilik. Sehingga seolah-olah dengan diadakannya penyitaan, telah diadakan suatu putusan yang membenarkan putusan yang masih belum dijatuhkan. Hal semacam ini dikhawatirkan akan menimbulkan dampak psikologis terhadap tergugat karena telah merugikan nama baik dan kredibilitas seseorang. Dikatakan demikian, karena penyitaan merupakan suatu perampasan terhadap harta kekayaan tergugat, meskipun belum diketahui kebenaran gugatan. Tindakan penyitaan terhadap harta kekayaan debitur atau tergugat merupakan hal yang dibenarkan dalam hukum acara sebagaimana diatur dalam Pasal 227 jo. Pasal 197 HIR jo. Pasal 720 Rv. Hukum materiil juga </w:t>
      </w:r>
      <w:r>
        <w:rPr>
          <w:rFonts w:ascii="Times New Roman" w:hAnsi="Times New Roman" w:cs="Times New Roman"/>
          <w:sz w:val="24"/>
          <w:szCs w:val="24"/>
        </w:rPr>
        <w:lastRenderedPageBreak/>
        <w:t>mengatur tindakan penyitaan dalam Pasal 1311 KUHPerdata, bahwa seluruh harta debitur menjadi tanggungan pembayaran utangnya kepada kreditur.</w:t>
      </w:r>
      <w:r>
        <w:rPr>
          <w:rStyle w:val="FootnoteReference"/>
          <w:rFonts w:ascii="Times New Roman" w:hAnsi="Times New Roman" w:cs="Times New Roman"/>
          <w:sz w:val="24"/>
          <w:szCs w:val="24"/>
        </w:rPr>
        <w:footnoteReference w:id="76"/>
      </w:r>
    </w:p>
    <w:p w:rsidR="00AA6F3E" w:rsidRDefault="00AA6F3E" w:rsidP="00AA6F3E">
      <w:pPr>
        <w:pStyle w:val="ListParagraph"/>
        <w:spacing w:line="480" w:lineRule="auto"/>
        <w:ind w:left="0" w:firstLine="840"/>
        <w:jc w:val="both"/>
        <w:rPr>
          <w:rFonts w:ascii="Times New Roman" w:hAnsi="Times New Roman" w:cs="Times New Roman"/>
          <w:sz w:val="24"/>
          <w:szCs w:val="24"/>
        </w:rPr>
      </w:pPr>
      <w:r>
        <w:rPr>
          <w:rFonts w:ascii="Times New Roman" w:hAnsi="Times New Roman" w:cs="Times New Roman"/>
          <w:sz w:val="24"/>
          <w:szCs w:val="24"/>
        </w:rPr>
        <w:t>Penggugat sangat berkepentingan bahwa gugatannya dikabulkan, oleh karena itu agar gugatannya dikabulkan dan terjamin haknya, undang-undang telah menyediakan  upaya penyitaan (</w:t>
      </w:r>
      <w:r>
        <w:rPr>
          <w:rFonts w:ascii="Times New Roman" w:hAnsi="Times New Roman" w:cs="Times New Roman"/>
          <w:i/>
          <w:sz w:val="24"/>
          <w:szCs w:val="24"/>
        </w:rPr>
        <w:t>arrest,</w:t>
      </w:r>
      <w:r w:rsidRPr="00D64913">
        <w:rPr>
          <w:rFonts w:ascii="Times New Roman" w:hAnsi="Times New Roman" w:cs="Times New Roman"/>
          <w:i/>
          <w:sz w:val="24"/>
          <w:szCs w:val="24"/>
        </w:rPr>
        <w:t xml:space="preserve"> beslag</w:t>
      </w:r>
      <w:r>
        <w:rPr>
          <w:rFonts w:ascii="Times New Roman" w:hAnsi="Times New Roman" w:cs="Times New Roman"/>
          <w:sz w:val="24"/>
          <w:szCs w:val="24"/>
        </w:rPr>
        <w:t>). Sudikno mengemukakan bahwa penyitaan merupakan tindakan persiapan untuk menjamin dapat dilaksanakannya putusan perdata.</w:t>
      </w:r>
      <w:r>
        <w:rPr>
          <w:rStyle w:val="FootnoteReference"/>
          <w:rFonts w:ascii="Times New Roman" w:hAnsi="Times New Roman" w:cs="Times New Roman"/>
          <w:sz w:val="24"/>
          <w:szCs w:val="24"/>
        </w:rPr>
        <w:footnoteReference w:id="77"/>
      </w:r>
      <w:r>
        <w:rPr>
          <w:rFonts w:ascii="Times New Roman" w:hAnsi="Times New Roman" w:cs="Times New Roman"/>
          <w:sz w:val="24"/>
          <w:szCs w:val="24"/>
        </w:rPr>
        <w:t xml:space="preserve"> Menurut Taufik Makarau, sita jaminan adalah pengambilalihan sesuatu barang yang diminta oleh pihak yang merasa berhak, baik barang bergerak maupun barang tidak bergerak untuk disimpan sebagai jaminan dan tidak boleh diperjualbelikan, disewakan kepada orang lain dan dilakukan sebelum perkara tersebut diputus oleh pengadilan.</w:t>
      </w:r>
      <w:r>
        <w:rPr>
          <w:rStyle w:val="FootnoteReference"/>
          <w:rFonts w:ascii="Times New Roman" w:hAnsi="Times New Roman" w:cs="Times New Roman"/>
          <w:sz w:val="24"/>
          <w:szCs w:val="24"/>
        </w:rPr>
        <w:footnoteReference w:id="78"/>
      </w:r>
      <w:r>
        <w:rPr>
          <w:rFonts w:ascii="Times New Roman" w:hAnsi="Times New Roman" w:cs="Times New Roman"/>
          <w:sz w:val="24"/>
          <w:szCs w:val="24"/>
        </w:rPr>
        <w:t xml:space="preserve"> </w:t>
      </w:r>
    </w:p>
    <w:p w:rsidR="00AA6F3E" w:rsidRDefault="00AA6F3E" w:rsidP="00AA6F3E">
      <w:pPr>
        <w:pStyle w:val="ListParagraph"/>
        <w:spacing w:line="480" w:lineRule="auto"/>
        <w:ind w:left="0" w:firstLine="840"/>
        <w:jc w:val="both"/>
        <w:rPr>
          <w:rFonts w:ascii="Times New Roman" w:hAnsi="Times New Roman" w:cs="Times New Roman"/>
          <w:sz w:val="24"/>
          <w:szCs w:val="24"/>
        </w:rPr>
      </w:pPr>
      <w:r>
        <w:rPr>
          <w:rFonts w:ascii="Times New Roman" w:hAnsi="Times New Roman" w:cs="Times New Roman"/>
          <w:sz w:val="24"/>
          <w:szCs w:val="24"/>
        </w:rPr>
        <w:t>Sita jaminan diatur dalam Pasal 226 -227 HIR dan dibedakan menjadi dua macam, yaitu : sita jaminan barang milik penggugat (</w:t>
      </w:r>
      <w:r w:rsidRPr="00354281">
        <w:rPr>
          <w:rFonts w:ascii="Times New Roman" w:hAnsi="Times New Roman" w:cs="Times New Roman"/>
          <w:i/>
          <w:sz w:val="24"/>
          <w:szCs w:val="24"/>
        </w:rPr>
        <w:t>revindicatoir</w:t>
      </w:r>
      <w:r>
        <w:rPr>
          <w:rFonts w:ascii="Times New Roman" w:hAnsi="Times New Roman" w:cs="Times New Roman"/>
          <w:sz w:val="24"/>
          <w:szCs w:val="24"/>
        </w:rPr>
        <w:t xml:space="preserve"> </w:t>
      </w:r>
      <w:r w:rsidRPr="00354281">
        <w:rPr>
          <w:rFonts w:ascii="Times New Roman" w:hAnsi="Times New Roman" w:cs="Times New Roman"/>
          <w:i/>
          <w:sz w:val="24"/>
          <w:szCs w:val="24"/>
        </w:rPr>
        <w:t>beslag</w:t>
      </w:r>
      <w:r>
        <w:rPr>
          <w:rFonts w:ascii="Times New Roman" w:hAnsi="Times New Roman" w:cs="Times New Roman"/>
          <w:sz w:val="24"/>
          <w:szCs w:val="24"/>
        </w:rPr>
        <w:t>) dan sita jaminan barang milik tergugat (</w:t>
      </w:r>
      <w:r w:rsidRPr="00354281">
        <w:rPr>
          <w:rFonts w:ascii="Times New Roman" w:hAnsi="Times New Roman" w:cs="Times New Roman"/>
          <w:i/>
          <w:sz w:val="24"/>
          <w:szCs w:val="24"/>
        </w:rPr>
        <w:t>conservatoir beslag</w:t>
      </w:r>
      <w:r>
        <w:rPr>
          <w:rFonts w:ascii="Times New Roman" w:hAnsi="Times New Roman" w:cs="Times New Roman"/>
          <w:sz w:val="24"/>
          <w:szCs w:val="24"/>
        </w:rPr>
        <w:t xml:space="preserve">). </w:t>
      </w:r>
      <w:r>
        <w:rPr>
          <w:rFonts w:ascii="Times New Roman" w:hAnsi="Times New Roman" w:cs="Times New Roman"/>
          <w:i/>
          <w:sz w:val="24"/>
          <w:szCs w:val="24"/>
        </w:rPr>
        <w:t>R</w:t>
      </w:r>
      <w:r w:rsidRPr="00354281">
        <w:rPr>
          <w:rFonts w:ascii="Times New Roman" w:hAnsi="Times New Roman" w:cs="Times New Roman"/>
          <w:i/>
          <w:sz w:val="24"/>
          <w:szCs w:val="24"/>
        </w:rPr>
        <w:t>evindicatoir</w:t>
      </w:r>
      <w:r>
        <w:rPr>
          <w:rFonts w:ascii="Times New Roman" w:hAnsi="Times New Roman" w:cs="Times New Roman"/>
          <w:sz w:val="24"/>
          <w:szCs w:val="24"/>
        </w:rPr>
        <w:t xml:space="preserve"> </w:t>
      </w:r>
      <w:r w:rsidRPr="00354281">
        <w:rPr>
          <w:rFonts w:ascii="Times New Roman" w:hAnsi="Times New Roman" w:cs="Times New Roman"/>
          <w:i/>
          <w:sz w:val="24"/>
          <w:szCs w:val="24"/>
        </w:rPr>
        <w:t>beslag</w:t>
      </w:r>
      <w:r>
        <w:rPr>
          <w:rFonts w:ascii="Times New Roman" w:hAnsi="Times New Roman" w:cs="Times New Roman"/>
          <w:i/>
          <w:sz w:val="24"/>
          <w:szCs w:val="24"/>
        </w:rPr>
        <w:t xml:space="preserve"> </w:t>
      </w:r>
      <w:r>
        <w:rPr>
          <w:rFonts w:ascii="Times New Roman" w:hAnsi="Times New Roman" w:cs="Times New Roman"/>
          <w:sz w:val="24"/>
          <w:szCs w:val="24"/>
        </w:rPr>
        <w:t xml:space="preserve">terjadi manakala seseorang yang mempunyai sesuatu barang yang bergerak dapat minta dengan surat atau dengan lisan kepada Ketua Pengadilan  Negeri yang berkuasa di tempat tinggal atau kediaman orang yang memegang barang itu, supaya barang itu disita. Sita </w:t>
      </w:r>
      <w:r w:rsidRPr="008859B8">
        <w:rPr>
          <w:rFonts w:ascii="Times New Roman" w:hAnsi="Times New Roman" w:cs="Times New Roman"/>
          <w:i/>
          <w:sz w:val="24"/>
          <w:szCs w:val="24"/>
        </w:rPr>
        <w:t>revindicatoir</w:t>
      </w:r>
      <w:r>
        <w:rPr>
          <w:rFonts w:ascii="Times New Roman" w:hAnsi="Times New Roman" w:cs="Times New Roman"/>
          <w:sz w:val="24"/>
          <w:szCs w:val="24"/>
        </w:rPr>
        <w:t xml:space="preserve"> adalah tindakan penyitaan terhadap barang bergerak milik pemohon. Barang tetap tidak dapat disita secara </w:t>
      </w:r>
      <w:r w:rsidRPr="008859B8">
        <w:rPr>
          <w:rFonts w:ascii="Times New Roman" w:hAnsi="Times New Roman" w:cs="Times New Roman"/>
          <w:i/>
          <w:sz w:val="24"/>
          <w:szCs w:val="24"/>
        </w:rPr>
        <w:t>revindicatoir</w:t>
      </w:r>
      <w:r>
        <w:rPr>
          <w:rFonts w:ascii="Times New Roman" w:hAnsi="Times New Roman" w:cs="Times New Roman"/>
          <w:sz w:val="24"/>
          <w:szCs w:val="24"/>
        </w:rPr>
        <w:t xml:space="preserve">, karena kemungkinan akan dialihkan atau diasingkannya tidak ada atau kecil, disebabkan karena pada umumnya peralihan atau pengasingan barang </w:t>
      </w:r>
      <w:r>
        <w:rPr>
          <w:rFonts w:ascii="Times New Roman" w:hAnsi="Times New Roman" w:cs="Times New Roman"/>
          <w:sz w:val="24"/>
          <w:szCs w:val="24"/>
        </w:rPr>
        <w:lastRenderedPageBreak/>
        <w:t>tetap itu tidak semudah peralihan barang bergerak.</w:t>
      </w:r>
      <w:r>
        <w:rPr>
          <w:rStyle w:val="FootnoteReference"/>
          <w:rFonts w:ascii="Times New Roman" w:hAnsi="Times New Roman" w:cs="Times New Roman"/>
          <w:sz w:val="24"/>
          <w:szCs w:val="24"/>
        </w:rPr>
        <w:footnoteReference w:id="79"/>
      </w:r>
      <w:r>
        <w:rPr>
          <w:rFonts w:ascii="Times New Roman" w:hAnsi="Times New Roman" w:cs="Times New Roman"/>
          <w:sz w:val="24"/>
          <w:szCs w:val="24"/>
        </w:rPr>
        <w:t xml:space="preserve">  </w:t>
      </w:r>
      <w:r w:rsidRPr="008859B8">
        <w:rPr>
          <w:rFonts w:ascii="Times New Roman" w:hAnsi="Times New Roman" w:cs="Times New Roman"/>
          <w:i/>
          <w:sz w:val="24"/>
          <w:szCs w:val="24"/>
        </w:rPr>
        <w:t>Conservatoir beslag</w:t>
      </w:r>
      <w:r>
        <w:rPr>
          <w:rFonts w:ascii="Times New Roman" w:hAnsi="Times New Roman" w:cs="Times New Roman"/>
          <w:sz w:val="24"/>
          <w:szCs w:val="24"/>
        </w:rPr>
        <w:t xml:space="preserve"> merupakan tindakan persiapan dari pihak penggugat dalam bentuk permohonan kepada Ketua Pengadilan Negeri untuk menjamin dapat dilaksanakannya putusan perdata dengan menguangkan atau menjual barang debitur yang disita guna memenuhi tuntutan penggugat. Pengajuan sita jaminan ini haruslah ada dugaan yang beralasan, bahwa seorang yang berhutang selama belum belum dijatuhkan putusan oleh hakim atau selama putusan belum dijalankan mencari akal untuk menggelapkan atau melarikan barangnya. </w:t>
      </w:r>
      <w:r w:rsidRPr="008859B8">
        <w:rPr>
          <w:rFonts w:ascii="Times New Roman" w:hAnsi="Times New Roman" w:cs="Times New Roman"/>
          <w:i/>
          <w:sz w:val="24"/>
          <w:szCs w:val="24"/>
        </w:rPr>
        <w:t>Conservatoir beslag</w:t>
      </w:r>
      <w:r>
        <w:rPr>
          <w:rFonts w:ascii="Times New Roman" w:hAnsi="Times New Roman" w:cs="Times New Roman"/>
          <w:sz w:val="24"/>
          <w:szCs w:val="24"/>
        </w:rPr>
        <w:t xml:space="preserve">  dapat dilakukan terhadap barang bergerak dan barang tetap milik debitur, serta barang bergerak milik debitur yang ada di tangan orang lain.</w:t>
      </w:r>
      <w:r>
        <w:rPr>
          <w:rStyle w:val="FootnoteReference"/>
          <w:rFonts w:ascii="Times New Roman" w:hAnsi="Times New Roman" w:cs="Times New Roman"/>
          <w:sz w:val="24"/>
          <w:szCs w:val="24"/>
        </w:rPr>
        <w:footnoteReference w:id="80"/>
      </w:r>
      <w:r>
        <w:rPr>
          <w:rFonts w:ascii="Times New Roman" w:hAnsi="Times New Roman" w:cs="Times New Roman"/>
          <w:sz w:val="24"/>
          <w:szCs w:val="24"/>
        </w:rPr>
        <w:t xml:space="preserve"> </w:t>
      </w:r>
    </w:p>
    <w:p w:rsidR="00AA6F3E" w:rsidRDefault="00AA6F3E" w:rsidP="00AA6F3E">
      <w:pPr>
        <w:pStyle w:val="ListParagraph"/>
        <w:spacing w:line="480" w:lineRule="auto"/>
        <w:ind w:left="0" w:firstLine="840"/>
        <w:jc w:val="both"/>
        <w:rPr>
          <w:rFonts w:ascii="Times New Roman" w:hAnsi="Times New Roman" w:cs="Times New Roman"/>
          <w:sz w:val="24"/>
          <w:szCs w:val="24"/>
        </w:rPr>
      </w:pPr>
      <w:r>
        <w:rPr>
          <w:rFonts w:ascii="Times New Roman" w:hAnsi="Times New Roman" w:cs="Times New Roman"/>
          <w:sz w:val="24"/>
          <w:szCs w:val="24"/>
        </w:rPr>
        <w:t xml:space="preserve">Sebagai kelanjutan dari proses panggilan dan pemberitahuan adalah kehadiran para pihak dalam proses persidangan. Arti penting kehadiran para pihak dalam persidangan berkaitan dengan fungsi beracara  dan penjatuhan putusan atas perkara yang disengketakan. Hakim, menurut Pasal 124 HIR (Pasal 77 Rv) dan Pasal 125 ayat (1) HIR (Pasal 73 Rv) memiliki kewenangan untuk menjatuhkan putusan tanda hadirnya penggugat maupun tergugat, meskipun Juru Sita Pengadilan Negeri telah melakukan pemanggilan secara patut dan layak. Dengan demikian, putusan diambil dan dijatuhkan tanpa bantahan atau sanggahan dari pihak yang tidak hadir. Ini disebut dengan </w:t>
      </w:r>
      <w:r w:rsidRPr="00515AAC">
        <w:rPr>
          <w:rFonts w:ascii="Times New Roman" w:hAnsi="Times New Roman" w:cs="Times New Roman"/>
          <w:i/>
          <w:sz w:val="24"/>
          <w:szCs w:val="24"/>
        </w:rPr>
        <w:t>verstek</w:t>
      </w:r>
      <w:r>
        <w:rPr>
          <w:rFonts w:ascii="Times New Roman" w:hAnsi="Times New Roman" w:cs="Times New Roman"/>
          <w:sz w:val="24"/>
          <w:szCs w:val="24"/>
        </w:rPr>
        <w:t xml:space="preserve"> dan bertujuan untuk mendorong  para pihak tertib beracara, sehingga proses pemeriksaan penyelesaian  perkara </w:t>
      </w:r>
      <w:r>
        <w:rPr>
          <w:rFonts w:ascii="Times New Roman" w:hAnsi="Times New Roman" w:cs="Times New Roman"/>
          <w:sz w:val="24"/>
          <w:szCs w:val="24"/>
        </w:rPr>
        <w:lastRenderedPageBreak/>
        <w:t xml:space="preserve">terhindar dari anarki atau kesewenangan. Terhadap putusan </w:t>
      </w:r>
      <w:r w:rsidRPr="00CD769E">
        <w:rPr>
          <w:rFonts w:ascii="Times New Roman" w:hAnsi="Times New Roman" w:cs="Times New Roman"/>
          <w:i/>
          <w:sz w:val="24"/>
          <w:szCs w:val="24"/>
        </w:rPr>
        <w:t>verstek</w:t>
      </w:r>
      <w:r>
        <w:rPr>
          <w:rFonts w:ascii="Times New Roman" w:hAnsi="Times New Roman" w:cs="Times New Roman"/>
          <w:sz w:val="24"/>
          <w:szCs w:val="24"/>
        </w:rPr>
        <w:t>, masih dimungkinkan untuk melakukan perlawanan atau verzet. Dasar hukum verzet adalah Pasal 129 ayat (1) HIR atau Pasal 83 Rv, yang berbunyi “Tergugat yang dihukum sedang ia tidak hadir (verstek) dan tidak menerima putusan  itu, dapat mengajukan perlawanan atas putusan itu.”</w:t>
      </w:r>
    </w:p>
    <w:p w:rsidR="00AA6F3E" w:rsidRDefault="00AA6F3E" w:rsidP="00AA6F3E">
      <w:pPr>
        <w:pStyle w:val="ListParagraph"/>
        <w:spacing w:line="480" w:lineRule="auto"/>
        <w:ind w:left="0" w:firstLine="840"/>
        <w:jc w:val="both"/>
        <w:rPr>
          <w:rFonts w:ascii="Times New Roman" w:hAnsi="Times New Roman" w:cs="Times New Roman"/>
          <w:sz w:val="24"/>
          <w:szCs w:val="24"/>
        </w:rPr>
      </w:pPr>
      <w:r>
        <w:rPr>
          <w:rFonts w:ascii="Times New Roman" w:hAnsi="Times New Roman" w:cs="Times New Roman"/>
          <w:sz w:val="24"/>
          <w:szCs w:val="24"/>
        </w:rPr>
        <w:t xml:space="preserve">Setelah upaya perdamaian yang dilakukan oleh hakim tidak berhasil, maka kepada tergugat diberikan kesempatan untuk mengajukan jawaban atas gugatan yang diajukan oleh penggugat. Jawaban tergugat dapat terdiri dari tiga macam, yaitu </w:t>
      </w:r>
      <w:r w:rsidRPr="004802FA">
        <w:rPr>
          <w:rFonts w:ascii="Times New Roman" w:hAnsi="Times New Roman" w:cs="Times New Roman"/>
          <w:i/>
          <w:sz w:val="24"/>
          <w:szCs w:val="24"/>
        </w:rPr>
        <w:t>eksepsi</w:t>
      </w:r>
      <w:r>
        <w:rPr>
          <w:rFonts w:ascii="Times New Roman" w:hAnsi="Times New Roman" w:cs="Times New Roman"/>
          <w:sz w:val="24"/>
          <w:szCs w:val="24"/>
        </w:rPr>
        <w:t>, jawaban tergugat mengenai pokok perkara (</w:t>
      </w:r>
      <w:r w:rsidRPr="004802FA">
        <w:rPr>
          <w:rFonts w:ascii="Times New Roman" w:hAnsi="Times New Roman" w:cs="Times New Roman"/>
          <w:i/>
          <w:sz w:val="24"/>
          <w:szCs w:val="24"/>
        </w:rPr>
        <w:t>verweer ten principale</w:t>
      </w:r>
      <w:r>
        <w:rPr>
          <w:rFonts w:ascii="Times New Roman" w:hAnsi="Times New Roman" w:cs="Times New Roman"/>
          <w:sz w:val="24"/>
          <w:szCs w:val="24"/>
        </w:rPr>
        <w:t xml:space="preserve">), dan yang terakhir adalah </w:t>
      </w:r>
      <w:r w:rsidRPr="004802FA">
        <w:rPr>
          <w:rFonts w:ascii="Times New Roman" w:hAnsi="Times New Roman" w:cs="Times New Roman"/>
          <w:i/>
          <w:sz w:val="24"/>
          <w:szCs w:val="24"/>
        </w:rPr>
        <w:t>rekonvensi</w:t>
      </w:r>
      <w:r>
        <w:rPr>
          <w:rFonts w:ascii="Times New Roman" w:hAnsi="Times New Roman" w:cs="Times New Roman"/>
          <w:sz w:val="24"/>
          <w:szCs w:val="24"/>
        </w:rPr>
        <w:t xml:space="preserve">. </w:t>
      </w:r>
    </w:p>
    <w:p w:rsidR="00AA6F3E" w:rsidRDefault="00AA6F3E" w:rsidP="00AA6F3E">
      <w:pPr>
        <w:pStyle w:val="ListParagraph"/>
        <w:spacing w:line="480" w:lineRule="auto"/>
        <w:ind w:left="0" w:firstLine="840"/>
        <w:jc w:val="both"/>
        <w:rPr>
          <w:rFonts w:ascii="Times New Roman" w:hAnsi="Times New Roman" w:cs="Times New Roman"/>
          <w:sz w:val="24"/>
          <w:szCs w:val="24"/>
        </w:rPr>
      </w:pPr>
      <w:r>
        <w:rPr>
          <w:rFonts w:ascii="Times New Roman" w:hAnsi="Times New Roman" w:cs="Times New Roman"/>
          <w:sz w:val="24"/>
          <w:szCs w:val="24"/>
        </w:rPr>
        <w:t>Eksepsi bermakna  tangkisan atau bantahan (</w:t>
      </w:r>
      <w:r w:rsidRPr="00CD769E">
        <w:rPr>
          <w:rFonts w:ascii="Times New Roman" w:hAnsi="Times New Roman" w:cs="Times New Roman"/>
          <w:i/>
          <w:sz w:val="24"/>
          <w:szCs w:val="24"/>
        </w:rPr>
        <w:t>objection</w:t>
      </w:r>
      <w:r>
        <w:rPr>
          <w:rFonts w:ascii="Times New Roman" w:hAnsi="Times New Roman" w:cs="Times New Roman"/>
          <w:sz w:val="24"/>
          <w:szCs w:val="24"/>
        </w:rPr>
        <w:t>) atau pembelaan (</w:t>
      </w:r>
      <w:r w:rsidRPr="00CD769E">
        <w:rPr>
          <w:rFonts w:ascii="Times New Roman" w:hAnsi="Times New Roman" w:cs="Times New Roman"/>
          <w:i/>
          <w:sz w:val="24"/>
          <w:szCs w:val="24"/>
        </w:rPr>
        <w:t>plea</w:t>
      </w:r>
      <w:r>
        <w:rPr>
          <w:rFonts w:ascii="Times New Roman" w:hAnsi="Times New Roman" w:cs="Times New Roman"/>
          <w:sz w:val="24"/>
          <w:szCs w:val="24"/>
        </w:rPr>
        <w:t>) yang diajukan tergugat terhadap materi pokok gugatan penggugat.  Tangkisan atau bantahan yang dapat diajukan dalam bentuk eksepsi ditujukan terhadap syarat-syarat atau formalitas gugatan, yaitu jika gugatan yang diajukan mengandung cacat atau pelanggaran formil yang mengakibatkan gugatan tidak sah, sehingga gugatan tidak dapat diterima (</w:t>
      </w:r>
      <w:r w:rsidRPr="004A5365">
        <w:rPr>
          <w:rFonts w:ascii="Times New Roman" w:hAnsi="Times New Roman" w:cs="Times New Roman"/>
          <w:i/>
          <w:sz w:val="24"/>
          <w:szCs w:val="24"/>
        </w:rPr>
        <w:t>inadmissible</w:t>
      </w:r>
      <w:r>
        <w:rPr>
          <w:rFonts w:ascii="Times New Roman" w:hAnsi="Times New Roman" w:cs="Times New Roman"/>
          <w:sz w:val="24"/>
          <w:szCs w:val="24"/>
        </w:rPr>
        <w:t>). Dengan demikian materi eksepsi tidak ditujukan terhadap pokok perkara (</w:t>
      </w:r>
      <w:r w:rsidRPr="004A5365">
        <w:rPr>
          <w:rFonts w:ascii="Times New Roman" w:hAnsi="Times New Roman" w:cs="Times New Roman"/>
          <w:i/>
          <w:sz w:val="24"/>
          <w:szCs w:val="24"/>
        </w:rPr>
        <w:t>verweer ten principale</w:t>
      </w:r>
      <w:r>
        <w:rPr>
          <w:rFonts w:ascii="Times New Roman" w:hAnsi="Times New Roman" w:cs="Times New Roman"/>
          <w:sz w:val="24"/>
          <w:szCs w:val="24"/>
        </w:rPr>
        <w:t xml:space="preserve">), tetapi sebagai bagian tersendiri dan mengikuti eksepsi. Eksepsi diatur dalam Pasal 125 ayat (2), Pasal 133, Pasal 134, dan Pasal 136 HIR. Berdasarkan peraturan perundang-undangan tersebut,  eksepsi dibagi menjadi dua macam, yaitu eksepsi kompetensi absolut dan relatif. Namun, dalam praktiknya jarang dipermasalahkan ke dalam golongan mana eksepsi yang diajukan, karena yang terpenting adalah sesuai dengan kenyataan yang sebenarnya. Eksepsi yang biasa ditemui dalam </w:t>
      </w:r>
      <w:r>
        <w:rPr>
          <w:rFonts w:ascii="Times New Roman" w:hAnsi="Times New Roman" w:cs="Times New Roman"/>
          <w:sz w:val="24"/>
          <w:szCs w:val="24"/>
        </w:rPr>
        <w:lastRenderedPageBreak/>
        <w:t>praktek terbagi menjadi dua macam, yaitu eksepsi prosesual (</w:t>
      </w:r>
      <w:r w:rsidRPr="00762F3A">
        <w:rPr>
          <w:rFonts w:ascii="Times New Roman" w:hAnsi="Times New Roman" w:cs="Times New Roman"/>
          <w:i/>
          <w:sz w:val="24"/>
          <w:szCs w:val="24"/>
        </w:rPr>
        <w:t>Processuele Exceptie</w:t>
      </w:r>
      <w:r>
        <w:rPr>
          <w:rFonts w:ascii="Times New Roman" w:hAnsi="Times New Roman" w:cs="Times New Roman"/>
          <w:sz w:val="24"/>
          <w:szCs w:val="24"/>
        </w:rPr>
        <w:t>) dan eksepsi prosesual di luar eksepsi kompetensi.</w:t>
      </w:r>
    </w:p>
    <w:p w:rsidR="00AA6F3E" w:rsidRDefault="00AA6F3E" w:rsidP="00AA6F3E">
      <w:pPr>
        <w:pStyle w:val="ListParagraph"/>
        <w:spacing w:line="480" w:lineRule="auto"/>
        <w:ind w:left="0" w:firstLine="840"/>
        <w:jc w:val="both"/>
        <w:rPr>
          <w:rFonts w:ascii="Times New Roman" w:hAnsi="Times New Roman" w:cs="Times New Roman"/>
          <w:sz w:val="24"/>
          <w:szCs w:val="24"/>
        </w:rPr>
      </w:pPr>
      <w:r>
        <w:rPr>
          <w:rFonts w:ascii="Times New Roman" w:hAnsi="Times New Roman" w:cs="Times New Roman"/>
          <w:sz w:val="24"/>
          <w:szCs w:val="24"/>
        </w:rPr>
        <w:t>Eksepsi prosesual adalah eksepsi berdasar hukum acara, yaitu jenis eksepsi yang berkenaan dengan syarat formil gugatan. Apabila gugatan yang diajukan mengandung cacat formil, maka gugatan yang diajukan tidak sah, dengan demikian harus dinyatakan tidak dapat diterima (</w:t>
      </w:r>
      <w:r w:rsidRPr="008838B3">
        <w:rPr>
          <w:rFonts w:ascii="Times New Roman" w:hAnsi="Times New Roman" w:cs="Times New Roman"/>
          <w:i/>
          <w:sz w:val="24"/>
          <w:szCs w:val="24"/>
        </w:rPr>
        <w:t>niet onvantkelijke verklaard</w:t>
      </w:r>
      <w:r>
        <w:rPr>
          <w:rFonts w:ascii="Times New Roman" w:hAnsi="Times New Roman" w:cs="Times New Roman"/>
          <w:sz w:val="24"/>
          <w:szCs w:val="24"/>
        </w:rPr>
        <w:t>). Secara garis besar, eksepsi prosesual dapat dibagi menjadi dua bagian, yaitu eksepsi tidak berwenang mengadili (</w:t>
      </w:r>
      <w:r w:rsidRPr="00CB7E0C">
        <w:rPr>
          <w:rFonts w:ascii="Times New Roman" w:hAnsi="Times New Roman" w:cs="Times New Roman"/>
          <w:i/>
          <w:sz w:val="24"/>
          <w:szCs w:val="24"/>
        </w:rPr>
        <w:t>exceptie van onbeveogheid</w:t>
      </w:r>
      <w:r>
        <w:rPr>
          <w:rFonts w:ascii="Times New Roman" w:hAnsi="Times New Roman" w:cs="Times New Roman"/>
          <w:sz w:val="24"/>
          <w:szCs w:val="24"/>
        </w:rPr>
        <w:t xml:space="preserve">) dan eksepsi tidak berwenang secara absolut. </w:t>
      </w:r>
    </w:p>
    <w:p w:rsidR="00AA6F3E" w:rsidRDefault="00AA6F3E" w:rsidP="00AA6F3E">
      <w:pPr>
        <w:pStyle w:val="ListParagraph"/>
        <w:spacing w:line="480" w:lineRule="auto"/>
        <w:ind w:left="0" w:firstLine="839"/>
        <w:jc w:val="both"/>
        <w:rPr>
          <w:rFonts w:ascii="Times New Roman" w:hAnsi="Times New Roman" w:cs="Times New Roman"/>
          <w:sz w:val="24"/>
          <w:szCs w:val="24"/>
        </w:rPr>
      </w:pPr>
      <w:r>
        <w:rPr>
          <w:rFonts w:ascii="Times New Roman" w:hAnsi="Times New Roman" w:cs="Times New Roman"/>
          <w:sz w:val="24"/>
          <w:szCs w:val="24"/>
        </w:rPr>
        <w:t xml:space="preserve">Sudikno mengemukakan bahwa eksepsi atau tangkisan terhadap kompetensi relatif daripada hakim, yaitu bahwa Pengadilan  Negeri lainlah yang berkuasa, harus diajukan pada permulaan sidang (Pasal 125 ayat (2) dan Pasal 133 HIR, Pasal 149 ayat (2) dan Pasal 159 RBg), sedang tangkisan terhadap kompetensi absolut, yaitu bahwa Pengadilan Negeri tidak berkuasa dapat diajukan setiap saat, sepanjang pemeriksaan (Pasal 134 HIR dan Pasaal 160 RBg), bahkan hakim wajib secara </w:t>
      </w:r>
      <w:r w:rsidRPr="00CB5CF6">
        <w:rPr>
          <w:rFonts w:ascii="Times New Roman" w:hAnsi="Times New Roman" w:cs="Times New Roman"/>
          <w:i/>
          <w:sz w:val="24"/>
          <w:szCs w:val="24"/>
        </w:rPr>
        <w:t>ex officio</w:t>
      </w:r>
      <w:r>
        <w:rPr>
          <w:rFonts w:ascii="Times New Roman" w:hAnsi="Times New Roman" w:cs="Times New Roman"/>
          <w:sz w:val="24"/>
          <w:szCs w:val="24"/>
        </w:rPr>
        <w:t xml:space="preserve"> memutuskan berkuasa tidaknya ia memeriksa perkara yang bersangkutan tanpa menunggu diajukannya tangkisan oleh pihak tergugat.</w:t>
      </w:r>
      <w:r>
        <w:rPr>
          <w:rStyle w:val="FootnoteReference"/>
          <w:rFonts w:ascii="Times New Roman" w:hAnsi="Times New Roman" w:cs="Times New Roman"/>
          <w:sz w:val="24"/>
          <w:szCs w:val="24"/>
        </w:rPr>
        <w:footnoteReference w:id="81"/>
      </w:r>
    </w:p>
    <w:p w:rsidR="00AA6F3E" w:rsidRDefault="00AA6F3E" w:rsidP="00AA6F3E">
      <w:pPr>
        <w:pStyle w:val="ListParagraph"/>
        <w:spacing w:line="480" w:lineRule="auto"/>
        <w:ind w:left="0" w:firstLine="840"/>
        <w:jc w:val="both"/>
        <w:rPr>
          <w:rFonts w:ascii="Times New Roman" w:hAnsi="Times New Roman" w:cs="Times New Roman"/>
          <w:sz w:val="24"/>
          <w:szCs w:val="24"/>
        </w:rPr>
      </w:pPr>
      <w:r>
        <w:rPr>
          <w:rFonts w:ascii="Times New Roman" w:hAnsi="Times New Roman" w:cs="Times New Roman"/>
          <w:sz w:val="24"/>
          <w:szCs w:val="24"/>
        </w:rPr>
        <w:t xml:space="preserve">Eksepsi prosesual di luar eksepsi kompetensi terdiri dari berbagai bentuk atau jenis. Bentuk yang paling sering diajukan dalam praktik, antara lain eksepsi surat kuasa khusus tidak sah, eksepsi </w:t>
      </w:r>
      <w:r w:rsidRPr="00476B7F">
        <w:rPr>
          <w:rFonts w:ascii="Times New Roman" w:hAnsi="Times New Roman" w:cs="Times New Roman"/>
          <w:i/>
          <w:sz w:val="24"/>
          <w:szCs w:val="24"/>
        </w:rPr>
        <w:t>error in persona</w:t>
      </w:r>
      <w:r>
        <w:rPr>
          <w:rFonts w:ascii="Times New Roman" w:hAnsi="Times New Roman" w:cs="Times New Roman"/>
          <w:sz w:val="24"/>
          <w:szCs w:val="24"/>
        </w:rPr>
        <w:t xml:space="preserve">, dan </w:t>
      </w:r>
      <w:r w:rsidRPr="00F971CF">
        <w:rPr>
          <w:rFonts w:ascii="Times New Roman" w:hAnsi="Times New Roman" w:cs="Times New Roman"/>
          <w:i/>
          <w:sz w:val="24"/>
          <w:szCs w:val="24"/>
        </w:rPr>
        <w:t>exceptio res judicata</w:t>
      </w:r>
      <w:r>
        <w:rPr>
          <w:rFonts w:ascii="Times New Roman" w:hAnsi="Times New Roman" w:cs="Times New Roman"/>
          <w:sz w:val="24"/>
          <w:szCs w:val="24"/>
        </w:rPr>
        <w:t xml:space="preserve"> atau </w:t>
      </w:r>
      <w:r w:rsidRPr="00F971CF">
        <w:rPr>
          <w:rFonts w:ascii="Times New Roman" w:hAnsi="Times New Roman" w:cs="Times New Roman"/>
          <w:i/>
          <w:sz w:val="24"/>
          <w:szCs w:val="24"/>
        </w:rPr>
        <w:t>ne bis in idem</w:t>
      </w:r>
      <w:r>
        <w:rPr>
          <w:rFonts w:ascii="Times New Roman" w:hAnsi="Times New Roman" w:cs="Times New Roman"/>
          <w:sz w:val="24"/>
          <w:szCs w:val="24"/>
        </w:rPr>
        <w:t>.</w:t>
      </w:r>
    </w:p>
    <w:p w:rsidR="00AA6F3E" w:rsidRDefault="00AA6F3E" w:rsidP="00AA6F3E">
      <w:pPr>
        <w:pStyle w:val="ListParagraph"/>
        <w:spacing w:line="480" w:lineRule="auto"/>
        <w:ind w:left="0" w:firstLine="840"/>
        <w:jc w:val="both"/>
        <w:rPr>
          <w:rFonts w:ascii="Times New Roman" w:hAnsi="Times New Roman" w:cs="Times New Roman"/>
          <w:sz w:val="24"/>
          <w:szCs w:val="24"/>
        </w:rPr>
      </w:pPr>
      <w:r>
        <w:rPr>
          <w:rFonts w:ascii="Times New Roman" w:hAnsi="Times New Roman" w:cs="Times New Roman"/>
          <w:i/>
          <w:sz w:val="24"/>
          <w:szCs w:val="24"/>
        </w:rPr>
        <w:lastRenderedPageBreak/>
        <w:t>V</w:t>
      </w:r>
      <w:r w:rsidRPr="004802FA">
        <w:rPr>
          <w:rFonts w:ascii="Times New Roman" w:hAnsi="Times New Roman" w:cs="Times New Roman"/>
          <w:i/>
          <w:sz w:val="24"/>
          <w:szCs w:val="24"/>
        </w:rPr>
        <w:t>erweer ten principale</w:t>
      </w:r>
      <w:r>
        <w:rPr>
          <w:rFonts w:ascii="Times New Roman" w:hAnsi="Times New Roman" w:cs="Times New Roman"/>
          <w:i/>
          <w:sz w:val="24"/>
          <w:szCs w:val="24"/>
        </w:rPr>
        <w:t xml:space="preserve"> </w:t>
      </w:r>
      <w:r>
        <w:rPr>
          <w:rFonts w:ascii="Times New Roman" w:hAnsi="Times New Roman" w:cs="Times New Roman"/>
          <w:sz w:val="24"/>
          <w:szCs w:val="24"/>
        </w:rPr>
        <w:t>atau jawaban tergugat mengenai pokok perkara biasanya mengandung pengakuan atau penyangkalan. Pengakuan berarti membenarkan isi gugatan penggugat, baik untuk sebagian maupun untuk seluruhnya dan pengakuan ini dapat dijadikan sebagai salah satu alat bukti di persidangan. Penyangkalan atau bantahan ialah pernyataan tidak membenarkan atau tidak mengakui apa yang digugat terhadap tergugat dan harus disertai dengan alasan yang benar.</w:t>
      </w:r>
    </w:p>
    <w:p w:rsidR="00AA6F3E" w:rsidRDefault="00AA6F3E" w:rsidP="00AA6F3E">
      <w:pPr>
        <w:pStyle w:val="ListParagraph"/>
        <w:spacing w:line="480" w:lineRule="auto"/>
        <w:ind w:left="0" w:firstLine="840"/>
        <w:jc w:val="both"/>
        <w:rPr>
          <w:rFonts w:ascii="Times New Roman" w:hAnsi="Times New Roman" w:cs="Times New Roman"/>
          <w:sz w:val="24"/>
          <w:szCs w:val="24"/>
        </w:rPr>
      </w:pPr>
      <w:r w:rsidRPr="008D7803">
        <w:rPr>
          <w:rFonts w:ascii="Times New Roman" w:hAnsi="Times New Roman" w:cs="Times New Roman"/>
          <w:i/>
          <w:sz w:val="24"/>
          <w:szCs w:val="24"/>
        </w:rPr>
        <w:t>Rekonvensi</w:t>
      </w:r>
      <w:r>
        <w:rPr>
          <w:rFonts w:ascii="Times New Roman" w:hAnsi="Times New Roman" w:cs="Times New Roman"/>
          <w:sz w:val="24"/>
          <w:szCs w:val="24"/>
        </w:rPr>
        <w:t xml:space="preserve"> berarti tuntutan balik atau gugatan balasan yang dilakukan oleh tergugat kepada penggugat atau gugatan yang diajukan oleh tergugat berhubung penggugat juga pernah melakukan wanprestasi terhadap tergugat (jawaban tergugat terhadap gugatanI.</w:t>
      </w:r>
      <w:r>
        <w:rPr>
          <w:rStyle w:val="FootnoteReference"/>
          <w:rFonts w:ascii="Times New Roman" w:hAnsi="Times New Roman" w:cs="Times New Roman"/>
          <w:sz w:val="24"/>
          <w:szCs w:val="24"/>
        </w:rPr>
        <w:footnoteReference w:id="82"/>
      </w:r>
      <w:r>
        <w:rPr>
          <w:rFonts w:ascii="Times New Roman" w:hAnsi="Times New Roman" w:cs="Times New Roman"/>
          <w:sz w:val="24"/>
          <w:szCs w:val="24"/>
        </w:rPr>
        <w:t xml:space="preserve"> Setelah tergugat mengajukan jawaban, maka tahapan pemeriksaan perkara di pengadilan selanjutnya adalah </w:t>
      </w:r>
      <w:r w:rsidRPr="00FC2172">
        <w:rPr>
          <w:rFonts w:ascii="Times New Roman" w:hAnsi="Times New Roman" w:cs="Times New Roman"/>
          <w:i/>
          <w:sz w:val="24"/>
          <w:szCs w:val="24"/>
        </w:rPr>
        <w:t>replik</w:t>
      </w:r>
      <w:r>
        <w:rPr>
          <w:rFonts w:ascii="Times New Roman" w:hAnsi="Times New Roman" w:cs="Times New Roman"/>
          <w:sz w:val="24"/>
          <w:szCs w:val="24"/>
        </w:rPr>
        <w:t xml:space="preserve">, yaitu jawaban penggugat terhadap jawaban tergugat atas gugatannya (dapat diajukan secara lisan maupun tertulis). Replik diajukan untuk meneguhkan gugatannya dengan mematahkan alasan penolakan yang dikemukakan oleh tergugat. Tahapan lainnya setelah </w:t>
      </w:r>
      <w:r w:rsidRPr="00FC2172">
        <w:rPr>
          <w:rFonts w:ascii="Times New Roman" w:hAnsi="Times New Roman" w:cs="Times New Roman"/>
          <w:i/>
          <w:sz w:val="24"/>
          <w:szCs w:val="24"/>
        </w:rPr>
        <w:t>replik</w:t>
      </w:r>
      <w:r>
        <w:rPr>
          <w:rFonts w:ascii="Times New Roman" w:hAnsi="Times New Roman" w:cs="Times New Roman"/>
          <w:sz w:val="24"/>
          <w:szCs w:val="24"/>
        </w:rPr>
        <w:t xml:space="preserve"> adalah </w:t>
      </w:r>
      <w:r w:rsidRPr="00FC2172">
        <w:rPr>
          <w:rFonts w:ascii="Times New Roman" w:hAnsi="Times New Roman" w:cs="Times New Roman"/>
          <w:i/>
          <w:sz w:val="24"/>
          <w:szCs w:val="24"/>
        </w:rPr>
        <w:t>duplik</w:t>
      </w:r>
      <w:r>
        <w:rPr>
          <w:rFonts w:ascii="Times New Roman" w:hAnsi="Times New Roman" w:cs="Times New Roman"/>
          <w:sz w:val="24"/>
          <w:szCs w:val="24"/>
        </w:rPr>
        <w:t xml:space="preserve">, yaitu jawaban tergugat terhadap </w:t>
      </w:r>
      <w:r w:rsidRPr="00FC2172">
        <w:rPr>
          <w:rFonts w:ascii="Times New Roman" w:hAnsi="Times New Roman" w:cs="Times New Roman"/>
          <w:i/>
          <w:sz w:val="24"/>
          <w:szCs w:val="24"/>
        </w:rPr>
        <w:t>replik</w:t>
      </w:r>
      <w:r>
        <w:rPr>
          <w:rFonts w:ascii="Times New Roman" w:hAnsi="Times New Roman" w:cs="Times New Roman"/>
          <w:sz w:val="24"/>
          <w:szCs w:val="24"/>
        </w:rPr>
        <w:t xml:space="preserve"> yang diajukan penggugat.  </w:t>
      </w:r>
    </w:p>
    <w:p w:rsidR="00AA6F3E" w:rsidRDefault="00AA6F3E" w:rsidP="00AA6F3E">
      <w:pPr>
        <w:pStyle w:val="ListParagraph"/>
        <w:spacing w:line="480" w:lineRule="auto"/>
        <w:ind w:left="0" w:firstLine="840"/>
        <w:jc w:val="both"/>
        <w:rPr>
          <w:rFonts w:ascii="Times New Roman" w:hAnsi="Times New Roman" w:cs="Times New Roman"/>
          <w:sz w:val="24"/>
          <w:szCs w:val="24"/>
        </w:rPr>
      </w:pPr>
      <w:r>
        <w:rPr>
          <w:rFonts w:ascii="Times New Roman" w:hAnsi="Times New Roman" w:cs="Times New Roman"/>
          <w:sz w:val="24"/>
          <w:szCs w:val="24"/>
        </w:rPr>
        <w:t xml:space="preserve">Setelah </w:t>
      </w:r>
      <w:r w:rsidRPr="00FC2172">
        <w:rPr>
          <w:rFonts w:ascii="Times New Roman" w:hAnsi="Times New Roman" w:cs="Times New Roman"/>
          <w:i/>
          <w:sz w:val="24"/>
          <w:szCs w:val="24"/>
        </w:rPr>
        <w:t>replik</w:t>
      </w:r>
      <w:r>
        <w:rPr>
          <w:rFonts w:ascii="Times New Roman" w:hAnsi="Times New Roman" w:cs="Times New Roman"/>
          <w:sz w:val="24"/>
          <w:szCs w:val="24"/>
        </w:rPr>
        <w:t xml:space="preserve"> dan </w:t>
      </w:r>
      <w:r w:rsidRPr="00FC2172">
        <w:rPr>
          <w:rFonts w:ascii="Times New Roman" w:hAnsi="Times New Roman" w:cs="Times New Roman"/>
          <w:i/>
          <w:sz w:val="24"/>
          <w:szCs w:val="24"/>
        </w:rPr>
        <w:t>duplik</w:t>
      </w:r>
      <w:r>
        <w:rPr>
          <w:rFonts w:ascii="Times New Roman" w:hAnsi="Times New Roman" w:cs="Times New Roman"/>
          <w:sz w:val="24"/>
          <w:szCs w:val="24"/>
        </w:rPr>
        <w:t xml:space="preserve"> selesai, maka dilanjutkan dengan proses pembuktian. Pembuktian adalah penyajian alat-alat bukti yang sah menurut hukum kepada hakim yang memeriksa suatu perkara guna memberikan kepastian tentang kebenaran peristiwa yang dikemukakan. </w:t>
      </w:r>
      <w:r>
        <w:rPr>
          <w:rStyle w:val="FootnoteReference"/>
          <w:rFonts w:ascii="Times New Roman" w:hAnsi="Times New Roman" w:cs="Times New Roman"/>
          <w:sz w:val="24"/>
          <w:szCs w:val="24"/>
        </w:rPr>
        <w:footnoteReference w:id="83"/>
      </w:r>
    </w:p>
    <w:p w:rsidR="00AA6F3E" w:rsidRDefault="00AA6F3E" w:rsidP="00AA6F3E">
      <w:pPr>
        <w:pStyle w:val="ListParagraph"/>
        <w:spacing w:line="480" w:lineRule="auto"/>
        <w:ind w:left="0" w:firstLine="839"/>
        <w:jc w:val="both"/>
        <w:rPr>
          <w:rFonts w:ascii="Times New Roman" w:hAnsi="Times New Roman" w:cs="Times New Roman"/>
          <w:sz w:val="24"/>
          <w:szCs w:val="24"/>
        </w:rPr>
      </w:pPr>
      <w:r w:rsidRPr="006B39F4">
        <w:rPr>
          <w:rFonts w:ascii="Times New Roman" w:hAnsi="Times New Roman" w:cs="Times New Roman"/>
          <w:sz w:val="24"/>
          <w:szCs w:val="24"/>
        </w:rPr>
        <w:lastRenderedPageBreak/>
        <w:t>Pasal 163 HIR/ Pasal 283 RBg mengatur bahwa  setiap orang yang mendalilkan bahwa ia mempunyai sesuatu hak atau guna meneguhkan haknya sendiri maupun membantah hak orang lain, menunjuk pada suatu diwajibkan membuktikan adanya hak atau peristiwa tersebut.</w:t>
      </w:r>
      <w:r>
        <w:rPr>
          <w:rFonts w:ascii="Times New Roman" w:hAnsi="Times New Roman" w:cs="Times New Roman"/>
          <w:sz w:val="24"/>
          <w:szCs w:val="24"/>
        </w:rPr>
        <w:t xml:space="preserve"> Pihak yang berperkara harus membuktikan peristiwanya dan bukan hukumnya, karena hakim dianggap tahu akan hukumnya (</w:t>
      </w:r>
      <w:r w:rsidRPr="00E13FF7">
        <w:rPr>
          <w:rFonts w:ascii="Times New Roman" w:hAnsi="Times New Roman" w:cs="Times New Roman"/>
          <w:i/>
          <w:sz w:val="24"/>
          <w:szCs w:val="24"/>
        </w:rPr>
        <w:t>ius curia novit</w:t>
      </w:r>
      <w:r>
        <w:rPr>
          <w:rFonts w:ascii="Times New Roman" w:hAnsi="Times New Roman" w:cs="Times New Roman"/>
          <w:sz w:val="24"/>
          <w:szCs w:val="24"/>
        </w:rPr>
        <w:t xml:space="preserve">), sedangkan beberapa hal yang tidak perlu dibuktikan adalah segala sesuatu yang diajukan oleh salah satu pihak dan telah diakui oleh pihak lainnya, segala sesuatu yang dilihat oleh hakim di muka persidangan dan segala sesuatu yang telah diketahui oleh umum (peristiwa </w:t>
      </w:r>
      <w:r w:rsidRPr="00E13FF7">
        <w:rPr>
          <w:rFonts w:ascii="Times New Roman" w:hAnsi="Times New Roman" w:cs="Times New Roman"/>
          <w:i/>
          <w:sz w:val="24"/>
          <w:szCs w:val="24"/>
        </w:rPr>
        <w:t>notoir</w:t>
      </w:r>
      <w:r>
        <w:rPr>
          <w:rFonts w:ascii="Times New Roman" w:hAnsi="Times New Roman" w:cs="Times New Roman"/>
          <w:sz w:val="24"/>
          <w:szCs w:val="24"/>
        </w:rPr>
        <w:t xml:space="preserve"> = </w:t>
      </w:r>
      <w:r w:rsidRPr="00E13FF7">
        <w:rPr>
          <w:rFonts w:ascii="Times New Roman" w:hAnsi="Times New Roman" w:cs="Times New Roman"/>
          <w:i/>
          <w:sz w:val="24"/>
          <w:szCs w:val="24"/>
        </w:rPr>
        <w:t>notoirfeiten</w:t>
      </w:r>
      <w:r>
        <w:rPr>
          <w:rFonts w:ascii="Times New Roman" w:hAnsi="Times New Roman" w:cs="Times New Roman"/>
          <w:sz w:val="24"/>
          <w:szCs w:val="24"/>
        </w:rPr>
        <w:t xml:space="preserve">). </w:t>
      </w:r>
    </w:p>
    <w:p w:rsidR="00AA6F3E" w:rsidRDefault="00AA6F3E" w:rsidP="00AA6F3E">
      <w:pPr>
        <w:pStyle w:val="ListParagraph"/>
        <w:spacing w:line="480" w:lineRule="auto"/>
        <w:ind w:left="0" w:firstLine="839"/>
        <w:jc w:val="both"/>
        <w:rPr>
          <w:rFonts w:ascii="Times New Roman" w:hAnsi="Times New Roman" w:cs="Times New Roman"/>
          <w:sz w:val="24"/>
          <w:szCs w:val="24"/>
        </w:rPr>
      </w:pPr>
      <w:r>
        <w:rPr>
          <w:rFonts w:ascii="Times New Roman" w:hAnsi="Times New Roman" w:cs="Times New Roman"/>
          <w:sz w:val="24"/>
          <w:szCs w:val="24"/>
        </w:rPr>
        <w:t>Alat-alat bukti dalam hukum acara perdata, menurut Pasal 164 HIR/ Pasal 1866 RBg) berupa alat bukti tertulis, pembuktian dengan saksi, persangkaan, pengakuan dan sumpah. Selain lima alat bukti tersebut dalam proses persidangan juga dikenal adanya pemeriksaan setempat oleh hakim (</w:t>
      </w:r>
      <w:r w:rsidRPr="007D46B5">
        <w:rPr>
          <w:rFonts w:ascii="Times New Roman" w:hAnsi="Times New Roman" w:cs="Times New Roman"/>
          <w:i/>
          <w:sz w:val="24"/>
          <w:szCs w:val="24"/>
        </w:rPr>
        <w:t>descente</w:t>
      </w:r>
      <w:r>
        <w:rPr>
          <w:rFonts w:ascii="Times New Roman" w:hAnsi="Times New Roman" w:cs="Times New Roman"/>
          <w:sz w:val="24"/>
          <w:szCs w:val="24"/>
        </w:rPr>
        <w:t>) dan keterangan ahli (</w:t>
      </w:r>
      <w:r w:rsidRPr="007D46B5">
        <w:rPr>
          <w:rFonts w:ascii="Times New Roman" w:hAnsi="Times New Roman" w:cs="Times New Roman"/>
          <w:i/>
          <w:sz w:val="24"/>
          <w:szCs w:val="24"/>
        </w:rPr>
        <w:t>expertise</w:t>
      </w:r>
      <w:r>
        <w:rPr>
          <w:rFonts w:ascii="Times New Roman" w:hAnsi="Times New Roman" w:cs="Times New Roman"/>
          <w:sz w:val="24"/>
          <w:szCs w:val="24"/>
        </w:rPr>
        <w:t>). Berdasarkan alat-alat bukti tersebut, maka hakim dapat menjatuhkan putusan. Sudikno mengemukakan bahwa putusan hakim adalah suatu pernyataan yang oleh hakim, sebagai pejabat negara yang diberi wewenang untuk itu, diucapkan di persidangan dan bertujuan untuk  mengakhiri atau menyelesaikan suatu perkara atau sengketa antara para pihak.</w:t>
      </w:r>
      <w:r>
        <w:rPr>
          <w:rStyle w:val="FootnoteReference"/>
          <w:rFonts w:ascii="Times New Roman" w:hAnsi="Times New Roman" w:cs="Times New Roman"/>
          <w:sz w:val="24"/>
          <w:szCs w:val="24"/>
        </w:rPr>
        <w:footnoteReference w:id="84"/>
      </w:r>
    </w:p>
    <w:p w:rsidR="00AA6F3E" w:rsidRDefault="00AA6F3E" w:rsidP="00AA6F3E">
      <w:pPr>
        <w:pStyle w:val="ListParagraph"/>
        <w:spacing w:line="480" w:lineRule="auto"/>
        <w:ind w:left="0" w:firstLine="840"/>
        <w:jc w:val="both"/>
        <w:rPr>
          <w:rFonts w:ascii="Times New Roman" w:hAnsi="Times New Roman" w:cs="Times New Roman"/>
          <w:sz w:val="24"/>
          <w:szCs w:val="24"/>
        </w:rPr>
      </w:pPr>
      <w:r>
        <w:rPr>
          <w:rFonts w:ascii="Times New Roman" w:hAnsi="Times New Roman" w:cs="Times New Roman"/>
          <w:sz w:val="24"/>
          <w:szCs w:val="24"/>
        </w:rPr>
        <w:t xml:space="preserve">Penyelesaian perkara dalam peradilan </w:t>
      </w:r>
      <w:r w:rsidRPr="00C2259A">
        <w:rPr>
          <w:rFonts w:ascii="Times New Roman" w:hAnsi="Times New Roman" w:cs="Times New Roman"/>
          <w:i/>
          <w:sz w:val="24"/>
          <w:szCs w:val="24"/>
        </w:rPr>
        <w:t>contentiosa</w:t>
      </w:r>
      <w:r>
        <w:rPr>
          <w:rFonts w:ascii="Times New Roman" w:hAnsi="Times New Roman" w:cs="Times New Roman"/>
          <w:sz w:val="24"/>
          <w:szCs w:val="24"/>
        </w:rPr>
        <w:t xml:space="preserve"> disebut sebagai putusan (</w:t>
      </w:r>
      <w:r w:rsidRPr="00C2259A">
        <w:rPr>
          <w:rFonts w:ascii="Times New Roman" w:hAnsi="Times New Roman" w:cs="Times New Roman"/>
          <w:i/>
          <w:sz w:val="24"/>
          <w:szCs w:val="24"/>
        </w:rPr>
        <w:t>vonnis</w:t>
      </w:r>
      <w:r>
        <w:rPr>
          <w:rFonts w:ascii="Times New Roman" w:hAnsi="Times New Roman" w:cs="Times New Roman"/>
          <w:sz w:val="24"/>
          <w:szCs w:val="24"/>
        </w:rPr>
        <w:t xml:space="preserve">) dan penyelesaian perkara dalam peradilan </w:t>
      </w:r>
      <w:r w:rsidRPr="00C2259A">
        <w:rPr>
          <w:rFonts w:ascii="Times New Roman" w:hAnsi="Times New Roman" w:cs="Times New Roman"/>
          <w:i/>
          <w:sz w:val="24"/>
          <w:szCs w:val="24"/>
        </w:rPr>
        <w:t>voluntair</w:t>
      </w:r>
      <w:r>
        <w:rPr>
          <w:rFonts w:ascii="Times New Roman" w:hAnsi="Times New Roman" w:cs="Times New Roman"/>
          <w:sz w:val="24"/>
          <w:szCs w:val="24"/>
        </w:rPr>
        <w:t xml:space="preserve"> disebut sebagai penetapan (</w:t>
      </w:r>
      <w:r w:rsidRPr="00C2259A">
        <w:rPr>
          <w:rFonts w:ascii="Times New Roman" w:hAnsi="Times New Roman" w:cs="Times New Roman"/>
          <w:i/>
          <w:sz w:val="24"/>
          <w:szCs w:val="24"/>
        </w:rPr>
        <w:t>beschikking</w:t>
      </w:r>
      <w:r>
        <w:rPr>
          <w:rFonts w:ascii="Times New Roman" w:hAnsi="Times New Roman" w:cs="Times New Roman"/>
          <w:sz w:val="24"/>
          <w:szCs w:val="24"/>
        </w:rPr>
        <w:t xml:space="preserve">). Terhadap putusan tersebut seringkali muncul </w:t>
      </w:r>
      <w:r>
        <w:rPr>
          <w:rFonts w:ascii="Times New Roman" w:hAnsi="Times New Roman" w:cs="Times New Roman"/>
          <w:sz w:val="24"/>
          <w:szCs w:val="24"/>
        </w:rPr>
        <w:lastRenderedPageBreak/>
        <w:t>ketidakpuasan dari pihak-pihak yang berperkara, sehingga dimungkinkan adanya upaya hukum. Upaya hukum terdiri dari dua macam, yaitu upaya hukum biasa dan upaya hukum luar biasa. Upaya hukum biasa dapat berupa perlawanan (</w:t>
      </w:r>
      <w:r w:rsidRPr="008D3F98">
        <w:rPr>
          <w:rFonts w:ascii="Times New Roman" w:hAnsi="Times New Roman" w:cs="Times New Roman"/>
          <w:i/>
          <w:sz w:val="24"/>
          <w:szCs w:val="24"/>
        </w:rPr>
        <w:t>verzet</w:t>
      </w:r>
      <w:r>
        <w:rPr>
          <w:rFonts w:ascii="Times New Roman" w:hAnsi="Times New Roman" w:cs="Times New Roman"/>
          <w:sz w:val="24"/>
          <w:szCs w:val="24"/>
        </w:rPr>
        <w:t xml:space="preserve">), banding, dan kasasi, sedangkan upaya hukum luar biasa berupa peninjauan kembali dan perlawanan pihak ketiga. </w:t>
      </w:r>
    </w:p>
    <w:p w:rsidR="0068593E" w:rsidRDefault="0068593E"/>
    <w:sectPr w:rsidR="0068593E" w:rsidSect="0020490C">
      <w:pgSz w:w="11906" w:h="16838" w:code="9"/>
      <w:pgMar w:top="2268" w:right="1701" w:bottom="1701" w:left="226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6F3E" w:rsidRDefault="00AA6F3E" w:rsidP="00AA6F3E">
      <w:pPr>
        <w:spacing w:after="0" w:line="240" w:lineRule="auto"/>
      </w:pPr>
      <w:r>
        <w:separator/>
      </w:r>
    </w:p>
  </w:endnote>
  <w:endnote w:type="continuationSeparator" w:id="1">
    <w:p w:rsidR="00AA6F3E" w:rsidRDefault="00AA6F3E" w:rsidP="00AA6F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6F3E" w:rsidRDefault="00AA6F3E" w:rsidP="00AA6F3E">
      <w:pPr>
        <w:spacing w:after="0" w:line="240" w:lineRule="auto"/>
      </w:pPr>
      <w:r>
        <w:separator/>
      </w:r>
    </w:p>
  </w:footnote>
  <w:footnote w:type="continuationSeparator" w:id="1">
    <w:p w:rsidR="00AA6F3E" w:rsidRDefault="00AA6F3E" w:rsidP="00AA6F3E">
      <w:pPr>
        <w:spacing w:after="0" w:line="240" w:lineRule="auto"/>
      </w:pPr>
      <w:r>
        <w:continuationSeparator/>
      </w:r>
    </w:p>
  </w:footnote>
  <w:footnote w:id="2">
    <w:p w:rsidR="00AA6F3E" w:rsidRPr="00B92B26" w:rsidRDefault="00AA6F3E" w:rsidP="00AA6F3E">
      <w:pPr>
        <w:pStyle w:val="FootnoteText"/>
        <w:ind w:firstLine="426"/>
        <w:jc w:val="both"/>
        <w:rPr>
          <w:rFonts w:ascii="Times New Roman" w:hAnsi="Times New Roman" w:cs="Times New Roman"/>
        </w:rPr>
      </w:pPr>
      <w:r w:rsidRPr="00B92B26">
        <w:rPr>
          <w:rStyle w:val="FootnoteReference"/>
          <w:rFonts w:ascii="Times New Roman" w:hAnsi="Times New Roman" w:cs="Times New Roman"/>
        </w:rPr>
        <w:footnoteRef/>
      </w:r>
      <w:r w:rsidRPr="00B92B26">
        <w:rPr>
          <w:rFonts w:ascii="Times New Roman" w:hAnsi="Times New Roman" w:cs="Times New Roman"/>
        </w:rPr>
        <w:t xml:space="preserve">Neni Sri Imaniyati dan Panji Adam Agus Putra, </w:t>
      </w:r>
      <w:r w:rsidRPr="00B92B26">
        <w:rPr>
          <w:rFonts w:ascii="Times New Roman" w:hAnsi="Times New Roman" w:cs="Times New Roman"/>
          <w:i/>
        </w:rPr>
        <w:t xml:space="preserve">Pengantar Hukum Perbankan Indonesia, </w:t>
      </w:r>
      <w:r w:rsidRPr="00B92B26">
        <w:rPr>
          <w:rFonts w:ascii="Times New Roman" w:hAnsi="Times New Roman" w:cs="Times New Roman"/>
        </w:rPr>
        <w:t>Cetakan Kedua (Bandung : Refika Aditama, 2016), hlm 142</w:t>
      </w:r>
    </w:p>
  </w:footnote>
  <w:footnote w:id="3">
    <w:p w:rsidR="00AA6F3E" w:rsidRDefault="00AA6F3E" w:rsidP="00AA6F3E">
      <w:pPr>
        <w:pStyle w:val="FootnoteText"/>
        <w:ind w:firstLine="425"/>
        <w:jc w:val="both"/>
      </w:pPr>
      <w:r>
        <w:rPr>
          <w:rStyle w:val="FootnoteReference"/>
        </w:rPr>
        <w:footnoteRef/>
      </w:r>
      <w:r w:rsidRPr="00D46831">
        <w:rPr>
          <w:rFonts w:ascii="Times New Roman" w:hAnsi="Times New Roman" w:cs="Times New Roman"/>
        </w:rPr>
        <w:t xml:space="preserve">Sutarno, </w:t>
      </w:r>
      <w:r>
        <w:rPr>
          <w:rFonts w:ascii="Times New Roman" w:hAnsi="Times New Roman" w:cs="Times New Roman"/>
          <w:i/>
        </w:rPr>
        <w:t>Op.cit.</w:t>
      </w:r>
      <w:r w:rsidRPr="00D46831">
        <w:rPr>
          <w:rFonts w:ascii="Times New Roman" w:hAnsi="Times New Roman" w:cs="Times New Roman"/>
        </w:rPr>
        <w:t xml:space="preserve">, </w:t>
      </w:r>
      <w:r>
        <w:rPr>
          <w:rFonts w:ascii="Times New Roman" w:hAnsi="Times New Roman" w:cs="Times New Roman"/>
        </w:rPr>
        <w:t>hlm 97</w:t>
      </w:r>
    </w:p>
    <w:p w:rsidR="00AA6F3E" w:rsidRDefault="00AA6F3E" w:rsidP="00AA6F3E">
      <w:pPr>
        <w:pStyle w:val="FootnoteText"/>
        <w:ind w:firstLine="425"/>
      </w:pPr>
    </w:p>
  </w:footnote>
  <w:footnote w:id="4">
    <w:p w:rsidR="00AA6F3E" w:rsidRPr="0014322C" w:rsidRDefault="00AA6F3E" w:rsidP="00AA6F3E">
      <w:pPr>
        <w:pStyle w:val="FootnoteText"/>
        <w:ind w:firstLine="425"/>
        <w:jc w:val="both"/>
        <w:rPr>
          <w:rFonts w:ascii="Times New Roman" w:hAnsi="Times New Roman" w:cs="Times New Roman"/>
        </w:rPr>
      </w:pPr>
      <w:r w:rsidRPr="0014322C">
        <w:rPr>
          <w:rStyle w:val="FootnoteReference"/>
          <w:rFonts w:ascii="Times New Roman" w:hAnsi="Times New Roman" w:cs="Times New Roman"/>
        </w:rPr>
        <w:footnoteRef/>
      </w:r>
      <w:r w:rsidRPr="0014322C">
        <w:rPr>
          <w:rFonts w:ascii="Times New Roman" w:hAnsi="Times New Roman" w:cs="Times New Roman"/>
        </w:rPr>
        <w:t xml:space="preserve">Pasal 1320 KUH Perdata memuat ketentuan sahnya suatu perjanjian, yaitu : (1). Sepakat mereka yang mengikatkan diri, (2). Kecakapan untuk membuat suatu perikatan,  (3). Suatu hal tertentu dan (4). Suatu sebab yang halal. </w:t>
      </w:r>
    </w:p>
  </w:footnote>
  <w:footnote w:id="5">
    <w:p w:rsidR="00AA6F3E" w:rsidRPr="00B92B26" w:rsidRDefault="00AA6F3E" w:rsidP="00AA6F3E">
      <w:pPr>
        <w:pStyle w:val="FootnoteText"/>
        <w:ind w:firstLine="426"/>
        <w:jc w:val="both"/>
        <w:rPr>
          <w:rFonts w:ascii="Times New Roman" w:hAnsi="Times New Roman" w:cs="Times New Roman"/>
        </w:rPr>
      </w:pPr>
      <w:r>
        <w:rPr>
          <w:rStyle w:val="FootnoteReference"/>
        </w:rPr>
        <w:footnoteRef/>
      </w:r>
      <w:r w:rsidRPr="00B92B26">
        <w:rPr>
          <w:rFonts w:ascii="Times New Roman" w:hAnsi="Times New Roman" w:cs="Times New Roman"/>
        </w:rPr>
        <w:t xml:space="preserve">Neni Sri Imaniyati dan Panji Adam Agus Putra, </w:t>
      </w:r>
      <w:r>
        <w:rPr>
          <w:rFonts w:ascii="Times New Roman" w:hAnsi="Times New Roman" w:cs="Times New Roman"/>
          <w:i/>
        </w:rPr>
        <w:t>Op.cit.</w:t>
      </w:r>
      <w:r w:rsidRPr="00B92B26">
        <w:rPr>
          <w:rFonts w:ascii="Times New Roman" w:hAnsi="Times New Roman" w:cs="Times New Roman"/>
          <w:i/>
        </w:rPr>
        <w:t>,</w:t>
      </w:r>
      <w:r w:rsidRPr="00B92B26">
        <w:rPr>
          <w:rFonts w:ascii="Times New Roman" w:hAnsi="Times New Roman" w:cs="Times New Roman"/>
        </w:rPr>
        <w:t xml:space="preserve"> hlm 14</w:t>
      </w:r>
      <w:r>
        <w:rPr>
          <w:rFonts w:ascii="Times New Roman" w:hAnsi="Times New Roman" w:cs="Times New Roman"/>
        </w:rPr>
        <w:t>3</w:t>
      </w:r>
    </w:p>
    <w:p w:rsidR="00AA6F3E" w:rsidRDefault="00AA6F3E" w:rsidP="00AA6F3E">
      <w:pPr>
        <w:pStyle w:val="FootnoteText"/>
      </w:pPr>
    </w:p>
  </w:footnote>
  <w:footnote w:id="6">
    <w:p w:rsidR="00AA6F3E" w:rsidRDefault="00AA6F3E" w:rsidP="00AA6F3E">
      <w:pPr>
        <w:pStyle w:val="FootnoteText"/>
        <w:ind w:firstLine="425"/>
        <w:jc w:val="both"/>
        <w:rPr>
          <w:rFonts w:ascii="Times New Roman" w:hAnsi="Times New Roman" w:cs="Times New Roman"/>
        </w:rPr>
      </w:pPr>
      <w:r w:rsidRPr="00BE2EB2">
        <w:rPr>
          <w:rStyle w:val="FootnoteReference"/>
          <w:rFonts w:ascii="Times New Roman" w:hAnsi="Times New Roman" w:cs="Times New Roman"/>
        </w:rPr>
        <w:footnoteRef/>
      </w:r>
      <w:r w:rsidRPr="00BE2EB2">
        <w:rPr>
          <w:rFonts w:ascii="Times New Roman" w:hAnsi="Times New Roman" w:cs="Times New Roman"/>
        </w:rPr>
        <w:t xml:space="preserve">Mariam Darus Badrulzaman, </w:t>
      </w:r>
      <w:r w:rsidRPr="00BE2EB2">
        <w:rPr>
          <w:rFonts w:ascii="Times New Roman" w:hAnsi="Times New Roman" w:cs="Times New Roman"/>
          <w:i/>
        </w:rPr>
        <w:t>Perjanjian Kredit Bank</w:t>
      </w:r>
      <w:r w:rsidRPr="00BE2EB2">
        <w:rPr>
          <w:rFonts w:ascii="Times New Roman" w:hAnsi="Times New Roman" w:cs="Times New Roman"/>
        </w:rPr>
        <w:t xml:space="preserve">, dikutip dari Adrian Sutedi, </w:t>
      </w:r>
      <w:r w:rsidRPr="00BE2EB2">
        <w:rPr>
          <w:rFonts w:ascii="Times New Roman" w:hAnsi="Times New Roman" w:cs="Times New Roman"/>
          <w:i/>
        </w:rPr>
        <w:t>Hukum Hak Tanggungan</w:t>
      </w:r>
      <w:r w:rsidRPr="00BE2EB2">
        <w:rPr>
          <w:rFonts w:ascii="Times New Roman" w:hAnsi="Times New Roman" w:cs="Times New Roman"/>
        </w:rPr>
        <w:t>, Cetakan Kedua (Jakarta : Sinar Grafika, 2012), hlm   19</w:t>
      </w:r>
    </w:p>
    <w:p w:rsidR="00AA6F3E" w:rsidRPr="00BE2EB2" w:rsidRDefault="00AA6F3E" w:rsidP="00AA6F3E">
      <w:pPr>
        <w:pStyle w:val="FootnoteText"/>
        <w:ind w:firstLine="425"/>
        <w:rPr>
          <w:rFonts w:ascii="Times New Roman" w:hAnsi="Times New Roman" w:cs="Times New Roman"/>
        </w:rPr>
      </w:pPr>
    </w:p>
  </w:footnote>
  <w:footnote w:id="7">
    <w:p w:rsidR="00AA6F3E" w:rsidRPr="000C134F" w:rsidRDefault="00AA6F3E" w:rsidP="00AA6F3E">
      <w:pPr>
        <w:pStyle w:val="FootnoteText"/>
        <w:ind w:firstLine="425"/>
        <w:rPr>
          <w:rFonts w:ascii="Times New Roman" w:hAnsi="Times New Roman" w:cs="Times New Roman"/>
        </w:rPr>
      </w:pPr>
      <w:r w:rsidRPr="000C134F">
        <w:rPr>
          <w:rStyle w:val="FootnoteReference"/>
          <w:rFonts w:ascii="Times New Roman" w:hAnsi="Times New Roman" w:cs="Times New Roman"/>
        </w:rPr>
        <w:footnoteRef/>
      </w:r>
      <w:r w:rsidRPr="000C134F">
        <w:rPr>
          <w:rFonts w:ascii="Times New Roman" w:hAnsi="Times New Roman" w:cs="Times New Roman"/>
        </w:rPr>
        <w:t xml:space="preserve">Sidharta P. Soerjadi, </w:t>
      </w:r>
      <w:r w:rsidRPr="00526A1D">
        <w:rPr>
          <w:rFonts w:ascii="Times New Roman" w:hAnsi="Times New Roman" w:cs="Times New Roman"/>
          <w:i/>
        </w:rPr>
        <w:t>Ibid</w:t>
      </w:r>
      <w:r>
        <w:rPr>
          <w:rFonts w:ascii="Times New Roman" w:hAnsi="Times New Roman" w:cs="Times New Roman"/>
          <w:i/>
        </w:rPr>
        <w:t>.</w:t>
      </w:r>
      <w:r w:rsidRPr="000C134F">
        <w:rPr>
          <w:rFonts w:ascii="Times New Roman" w:hAnsi="Times New Roman" w:cs="Times New Roman"/>
        </w:rPr>
        <w:t>, hlm 19</w:t>
      </w:r>
    </w:p>
  </w:footnote>
  <w:footnote w:id="8">
    <w:p w:rsidR="00AA6F3E" w:rsidRPr="00FD0066" w:rsidRDefault="00AA6F3E" w:rsidP="00AA6F3E">
      <w:pPr>
        <w:pStyle w:val="FootnoteText"/>
        <w:ind w:firstLine="425"/>
        <w:jc w:val="both"/>
        <w:rPr>
          <w:rFonts w:ascii="Times New Roman" w:hAnsi="Times New Roman" w:cs="Times New Roman"/>
        </w:rPr>
      </w:pPr>
      <w:r w:rsidRPr="00FD0066">
        <w:rPr>
          <w:rStyle w:val="FootnoteReference"/>
          <w:rFonts w:ascii="Times New Roman" w:hAnsi="Times New Roman" w:cs="Times New Roman"/>
        </w:rPr>
        <w:footnoteRef/>
      </w:r>
      <w:r w:rsidRPr="00FD0066">
        <w:rPr>
          <w:rFonts w:ascii="Times New Roman" w:hAnsi="Times New Roman" w:cs="Times New Roman"/>
        </w:rPr>
        <w:t xml:space="preserve">Adrian Sutedi, </w:t>
      </w:r>
      <w:r>
        <w:rPr>
          <w:rFonts w:ascii="Times New Roman" w:hAnsi="Times New Roman" w:cs="Times New Roman"/>
          <w:i/>
        </w:rPr>
        <w:t>Op.cit.</w:t>
      </w:r>
      <w:r w:rsidRPr="00FD0066">
        <w:rPr>
          <w:rFonts w:ascii="Times New Roman" w:hAnsi="Times New Roman" w:cs="Times New Roman"/>
        </w:rPr>
        <w:t>, hlm 21</w:t>
      </w:r>
    </w:p>
  </w:footnote>
  <w:footnote w:id="9">
    <w:p w:rsidR="00AA6F3E" w:rsidRPr="00887E58" w:rsidRDefault="00AA6F3E" w:rsidP="00AA6F3E">
      <w:pPr>
        <w:pStyle w:val="FootnoteText"/>
        <w:ind w:firstLine="425"/>
        <w:jc w:val="both"/>
        <w:rPr>
          <w:rFonts w:ascii="Times New Roman" w:hAnsi="Times New Roman" w:cs="Times New Roman"/>
        </w:rPr>
      </w:pPr>
      <w:r w:rsidRPr="00887E58">
        <w:rPr>
          <w:rStyle w:val="FootnoteReference"/>
          <w:rFonts w:ascii="Times New Roman" w:hAnsi="Times New Roman" w:cs="Times New Roman"/>
        </w:rPr>
        <w:footnoteRef/>
      </w:r>
      <w:r>
        <w:rPr>
          <w:rFonts w:ascii="Times New Roman" w:hAnsi="Times New Roman" w:cs="Times New Roman"/>
        </w:rPr>
        <w:t>Ketentuan Pasal 224 HIR/258 RBG</w:t>
      </w:r>
      <w:r w:rsidRPr="00887E58">
        <w:rPr>
          <w:rFonts w:ascii="Times New Roman" w:hAnsi="Times New Roman" w:cs="Times New Roman"/>
        </w:rPr>
        <w:t xml:space="preserve"> berbunyi </w:t>
      </w:r>
      <w:r>
        <w:rPr>
          <w:rFonts w:ascii="Times New Roman" w:hAnsi="Times New Roman" w:cs="Times New Roman"/>
        </w:rPr>
        <w:t xml:space="preserve">: Surat asli daripada surat hipotik dan surat utang, yang di buat di hadapan notaris di Indonesia dan yang memakai  perkataan : “atas nama keadilan” di kepalanya, kekuatannya sama dengan surat putusan hakim. Dalam hal menjalankan surat yang demikian, jika tidak dipenuhi dengan  jalan damai, maka dapat diperlakukan peraturan pada bagian ini, akan tetapi dengan pengertian, bahwa paksa badan hanya boleh dilakukan  sesudah diizinkan oleh putusan hakim. Jika hal menjalankan keputusan itu harus dijalankan sama sekali atau sebagian di luar daerah hukum pengadilan negeri, yang ketuanya memerintahkan menjalankan itu, maka peraturan-peraturan pada pasal 195 ayat kedua dan yang berikutnya dituruti., </w:t>
      </w:r>
      <w:r w:rsidRPr="00EF0653">
        <w:rPr>
          <w:rFonts w:ascii="Times New Roman" w:hAnsi="Times New Roman" w:cs="Times New Roman"/>
        </w:rPr>
        <w:t>Ibid, hlm 130</w:t>
      </w:r>
      <w:r>
        <w:rPr>
          <w:rFonts w:ascii="Times New Roman" w:hAnsi="Times New Roman" w:cs="Times New Roman"/>
        </w:rPr>
        <w:t xml:space="preserve"> </w:t>
      </w:r>
    </w:p>
  </w:footnote>
  <w:footnote w:id="10">
    <w:p w:rsidR="00AA6F3E" w:rsidRPr="00D46831" w:rsidRDefault="00AA6F3E" w:rsidP="00AA6F3E">
      <w:pPr>
        <w:pStyle w:val="FootnoteText"/>
        <w:ind w:firstLine="425"/>
        <w:jc w:val="both"/>
        <w:rPr>
          <w:rFonts w:ascii="Times New Roman" w:hAnsi="Times New Roman" w:cs="Times New Roman"/>
        </w:rPr>
      </w:pPr>
      <w:r>
        <w:rPr>
          <w:rStyle w:val="FootnoteReference"/>
        </w:rPr>
        <w:footnoteRef/>
      </w:r>
      <w:r w:rsidRPr="00D46831">
        <w:rPr>
          <w:rFonts w:ascii="Times New Roman" w:hAnsi="Times New Roman" w:cs="Times New Roman"/>
        </w:rPr>
        <w:t xml:space="preserve">Sutarno, </w:t>
      </w:r>
      <w:r>
        <w:rPr>
          <w:rFonts w:ascii="Times New Roman" w:hAnsi="Times New Roman" w:cs="Times New Roman"/>
          <w:i/>
        </w:rPr>
        <w:t>op.cit.</w:t>
      </w:r>
      <w:r w:rsidRPr="00D46831">
        <w:rPr>
          <w:rFonts w:ascii="Times New Roman" w:hAnsi="Times New Roman" w:cs="Times New Roman"/>
        </w:rPr>
        <w:t xml:space="preserve">, </w:t>
      </w:r>
      <w:r>
        <w:rPr>
          <w:rFonts w:ascii="Times New Roman" w:hAnsi="Times New Roman" w:cs="Times New Roman"/>
        </w:rPr>
        <w:t>hlm 142</w:t>
      </w:r>
    </w:p>
    <w:p w:rsidR="00AA6F3E" w:rsidRDefault="00AA6F3E" w:rsidP="00AA6F3E">
      <w:pPr>
        <w:pStyle w:val="FootnoteText"/>
        <w:ind w:left="851"/>
        <w:jc w:val="both"/>
      </w:pPr>
    </w:p>
  </w:footnote>
  <w:footnote w:id="11">
    <w:p w:rsidR="00AA6F3E" w:rsidRPr="007679FE" w:rsidRDefault="00AA6F3E" w:rsidP="00AA6F3E">
      <w:pPr>
        <w:pStyle w:val="FootnoteText"/>
        <w:ind w:firstLine="425"/>
        <w:jc w:val="both"/>
        <w:rPr>
          <w:rFonts w:ascii="Times New Roman" w:hAnsi="Times New Roman" w:cs="Times New Roman"/>
        </w:rPr>
      </w:pPr>
      <w:r w:rsidRPr="007679FE">
        <w:rPr>
          <w:rStyle w:val="FootnoteReference"/>
          <w:rFonts w:ascii="Times New Roman" w:hAnsi="Times New Roman" w:cs="Times New Roman"/>
        </w:rPr>
        <w:footnoteRef/>
      </w:r>
      <w:r w:rsidRPr="007679FE">
        <w:rPr>
          <w:rFonts w:ascii="Times New Roman" w:hAnsi="Times New Roman" w:cs="Times New Roman"/>
        </w:rPr>
        <w:t xml:space="preserve">Subekti, </w:t>
      </w:r>
      <w:r w:rsidRPr="007679FE">
        <w:rPr>
          <w:rFonts w:ascii="Times New Roman" w:hAnsi="Times New Roman" w:cs="Times New Roman"/>
          <w:i/>
        </w:rPr>
        <w:t>Jaminan-jaminan untuk Pemberian Kredit</w:t>
      </w:r>
      <w:r w:rsidRPr="007679FE">
        <w:rPr>
          <w:rFonts w:ascii="Times New Roman" w:hAnsi="Times New Roman" w:cs="Times New Roman"/>
        </w:rPr>
        <w:t xml:space="preserve">, dikutip dari Sutarno, </w:t>
      </w:r>
      <w:r w:rsidRPr="005F1E37">
        <w:rPr>
          <w:rFonts w:ascii="Times New Roman" w:hAnsi="Times New Roman" w:cs="Times New Roman"/>
          <w:i/>
        </w:rPr>
        <w:t>Ibid</w:t>
      </w:r>
      <w:r w:rsidRPr="007679FE">
        <w:rPr>
          <w:rFonts w:ascii="Times New Roman" w:hAnsi="Times New Roman" w:cs="Times New Roman"/>
        </w:rPr>
        <w:t>., hlm 142</w:t>
      </w:r>
    </w:p>
  </w:footnote>
  <w:footnote w:id="12">
    <w:p w:rsidR="00AA6F3E" w:rsidRPr="00E44B13" w:rsidRDefault="00AA6F3E" w:rsidP="00AA6F3E">
      <w:pPr>
        <w:pStyle w:val="FootnoteText"/>
        <w:ind w:firstLine="425"/>
        <w:jc w:val="both"/>
        <w:rPr>
          <w:rFonts w:ascii="Times New Roman" w:hAnsi="Times New Roman" w:cs="Times New Roman"/>
        </w:rPr>
      </w:pPr>
      <w:r w:rsidRPr="00E44B13">
        <w:rPr>
          <w:rStyle w:val="FootnoteReference"/>
          <w:rFonts w:ascii="Times New Roman" w:hAnsi="Times New Roman" w:cs="Times New Roman"/>
        </w:rPr>
        <w:footnoteRef/>
      </w:r>
      <w:r w:rsidRPr="00E44B13">
        <w:rPr>
          <w:rFonts w:ascii="Times New Roman" w:hAnsi="Times New Roman" w:cs="Times New Roman"/>
        </w:rPr>
        <w:t xml:space="preserve">Pembagian atau klasifikasi jaminan kredit, antara lain : (1). Jaminan yang lahir karena ketentuan UU dan karena perjanjian, (2). Jaminan umum dan jaminan khusus, (3). Jaminan kebendaan dan jaminan perorangan, (4). Jaminan penanggungan utang (borghtocht) dan , (5) Jaminan benda bergerak dan benda tidak bergerak., </w:t>
      </w:r>
      <w:r w:rsidRPr="006062AC">
        <w:rPr>
          <w:rFonts w:ascii="Times New Roman" w:hAnsi="Times New Roman" w:cs="Times New Roman"/>
          <w:i/>
        </w:rPr>
        <w:t>Ibid</w:t>
      </w:r>
      <w:r w:rsidRPr="00E44B13">
        <w:rPr>
          <w:rFonts w:ascii="Times New Roman" w:hAnsi="Times New Roman" w:cs="Times New Roman"/>
        </w:rPr>
        <w:t>., hlm 144 - 150</w:t>
      </w:r>
    </w:p>
  </w:footnote>
  <w:footnote w:id="13">
    <w:p w:rsidR="00AA6F3E" w:rsidRPr="003B0D89" w:rsidRDefault="00AA6F3E" w:rsidP="00AA6F3E">
      <w:pPr>
        <w:pStyle w:val="FootnoteText"/>
        <w:ind w:firstLine="425"/>
        <w:jc w:val="both"/>
        <w:rPr>
          <w:rFonts w:ascii="Times New Roman" w:hAnsi="Times New Roman" w:cs="Times New Roman"/>
        </w:rPr>
      </w:pPr>
      <w:r w:rsidRPr="003B0D89">
        <w:rPr>
          <w:rStyle w:val="FootnoteReference"/>
          <w:rFonts w:ascii="Times New Roman" w:hAnsi="Times New Roman" w:cs="Times New Roman"/>
        </w:rPr>
        <w:footnoteRef/>
      </w:r>
      <w:r w:rsidRPr="00030F08">
        <w:rPr>
          <w:rFonts w:ascii="Times New Roman" w:hAnsi="Times New Roman" w:cs="Times New Roman"/>
          <w:i/>
        </w:rPr>
        <w:t>Cessie</w:t>
      </w:r>
      <w:r w:rsidRPr="003B0D89">
        <w:rPr>
          <w:rFonts w:ascii="Times New Roman" w:hAnsi="Times New Roman" w:cs="Times New Roman"/>
        </w:rPr>
        <w:t xml:space="preserve"> adalah pengalihan piutang atas nama. Subrogasi adalah penggantian hak-hak si berpiutang atau kreditur  oleh seorang pihak ketiga yang telah membayar atas hutang debitur kepada kreditur.</w:t>
      </w:r>
    </w:p>
  </w:footnote>
  <w:footnote w:id="14">
    <w:p w:rsidR="00AA6F3E" w:rsidRPr="00D46831" w:rsidRDefault="00AA6F3E" w:rsidP="00AA6F3E">
      <w:pPr>
        <w:pStyle w:val="FootnoteText"/>
        <w:ind w:firstLine="425"/>
        <w:jc w:val="both"/>
        <w:rPr>
          <w:rFonts w:ascii="Times New Roman" w:hAnsi="Times New Roman" w:cs="Times New Roman"/>
        </w:rPr>
      </w:pPr>
      <w:r>
        <w:rPr>
          <w:rStyle w:val="FootnoteReference"/>
        </w:rPr>
        <w:footnoteRef/>
      </w:r>
      <w:r w:rsidRPr="00D46831">
        <w:rPr>
          <w:rFonts w:ascii="Times New Roman" w:hAnsi="Times New Roman" w:cs="Times New Roman"/>
        </w:rPr>
        <w:t xml:space="preserve">Sutarno, </w:t>
      </w:r>
      <w:r>
        <w:rPr>
          <w:rFonts w:ascii="Times New Roman" w:hAnsi="Times New Roman" w:cs="Times New Roman"/>
          <w:i/>
        </w:rPr>
        <w:t>Op.cit.</w:t>
      </w:r>
      <w:r w:rsidRPr="00D46831">
        <w:rPr>
          <w:rFonts w:ascii="Times New Roman" w:hAnsi="Times New Roman" w:cs="Times New Roman"/>
        </w:rPr>
        <w:t xml:space="preserve">, </w:t>
      </w:r>
      <w:r>
        <w:rPr>
          <w:rFonts w:ascii="Times New Roman" w:hAnsi="Times New Roman" w:cs="Times New Roman"/>
        </w:rPr>
        <w:t>hlm 151</w:t>
      </w:r>
    </w:p>
    <w:p w:rsidR="00AA6F3E" w:rsidRDefault="00AA6F3E" w:rsidP="00AA6F3E">
      <w:pPr>
        <w:pStyle w:val="FootnoteText"/>
      </w:pPr>
    </w:p>
  </w:footnote>
  <w:footnote w:id="15">
    <w:p w:rsidR="00AA6F3E" w:rsidRPr="00D8085C" w:rsidRDefault="00AA6F3E" w:rsidP="00AA6F3E">
      <w:pPr>
        <w:pStyle w:val="FootnoteText"/>
        <w:ind w:firstLine="426"/>
        <w:jc w:val="both"/>
        <w:rPr>
          <w:rFonts w:ascii="Times New Roman" w:hAnsi="Times New Roman" w:cs="Times New Roman"/>
        </w:rPr>
      </w:pPr>
      <w:r w:rsidRPr="00D8085C">
        <w:rPr>
          <w:rStyle w:val="FootnoteReference"/>
          <w:rFonts w:ascii="Times New Roman" w:hAnsi="Times New Roman" w:cs="Times New Roman"/>
        </w:rPr>
        <w:footnoteRef/>
      </w:r>
      <w:r w:rsidRPr="00D8085C">
        <w:rPr>
          <w:rFonts w:ascii="Times New Roman" w:hAnsi="Times New Roman" w:cs="Times New Roman"/>
        </w:rPr>
        <w:t xml:space="preserve">Boedi Harsono, </w:t>
      </w:r>
      <w:r w:rsidRPr="00D8085C">
        <w:rPr>
          <w:rFonts w:ascii="Times New Roman" w:hAnsi="Times New Roman" w:cs="Times New Roman"/>
          <w:i/>
        </w:rPr>
        <w:t>Hukum Agraria Indonesia : Sejarah Pembentukan Undang-Undang Pokok Agraria, Isi dan Pelaksanaannya - Jilid I</w:t>
      </w:r>
      <w:r>
        <w:rPr>
          <w:rFonts w:ascii="Times New Roman" w:hAnsi="Times New Roman" w:cs="Times New Roman"/>
        </w:rPr>
        <w:t>, Cetakan kedelapan ( Jakarta : Djambatan, 2008), hlm 420</w:t>
      </w:r>
    </w:p>
  </w:footnote>
  <w:footnote w:id="16">
    <w:p w:rsidR="00AA6F3E" w:rsidRPr="006E6D45" w:rsidRDefault="00AA6F3E" w:rsidP="00AA6F3E">
      <w:pPr>
        <w:pStyle w:val="FootnoteText"/>
        <w:ind w:firstLine="426"/>
        <w:jc w:val="both"/>
        <w:rPr>
          <w:rFonts w:ascii="Times New Roman" w:hAnsi="Times New Roman" w:cs="Times New Roman"/>
        </w:rPr>
      </w:pPr>
      <w:r w:rsidRPr="006E6D45">
        <w:rPr>
          <w:rStyle w:val="FootnoteReference"/>
          <w:rFonts w:ascii="Times New Roman" w:hAnsi="Times New Roman" w:cs="Times New Roman"/>
        </w:rPr>
        <w:footnoteRef/>
      </w:r>
      <w:r w:rsidRPr="006E6D45">
        <w:rPr>
          <w:rFonts w:ascii="Times New Roman" w:hAnsi="Times New Roman" w:cs="Times New Roman"/>
        </w:rPr>
        <w:t>Konsiderans Undang-Undang  Nomor. 4 Tahun 1996 tentang Hak Tanggungan atas tanah berserta benda-benda yang berkaitan dengan tanah (UUHT).</w:t>
      </w:r>
      <w:r>
        <w:rPr>
          <w:rFonts w:ascii="Times New Roman" w:hAnsi="Times New Roman" w:cs="Times New Roman"/>
        </w:rPr>
        <w:t xml:space="preserve"> </w:t>
      </w:r>
    </w:p>
  </w:footnote>
  <w:footnote w:id="17">
    <w:p w:rsidR="00AA6F3E" w:rsidRPr="007B7006" w:rsidRDefault="00AA6F3E" w:rsidP="00AA6F3E">
      <w:pPr>
        <w:pStyle w:val="FootnoteText"/>
        <w:ind w:firstLine="425"/>
        <w:jc w:val="both"/>
        <w:rPr>
          <w:rFonts w:ascii="Times New Roman" w:hAnsi="Times New Roman" w:cs="Times New Roman"/>
        </w:rPr>
      </w:pPr>
      <w:r w:rsidRPr="007B7006">
        <w:rPr>
          <w:rStyle w:val="FootnoteReference"/>
          <w:rFonts w:ascii="Times New Roman" w:hAnsi="Times New Roman" w:cs="Times New Roman"/>
        </w:rPr>
        <w:footnoteRef/>
      </w:r>
      <w:r w:rsidRPr="007B7006">
        <w:rPr>
          <w:rFonts w:ascii="Times New Roman" w:hAnsi="Times New Roman" w:cs="Times New Roman"/>
        </w:rPr>
        <w:t>Pasal 51 KUHPerdata berbunyi : hak tanggungan yang dapat dibebankan pada tanah dengan Hak Milik, Hak Guna Bangunan dan Hak Guna Tanah diatur dengan undang-undang.</w:t>
      </w:r>
    </w:p>
  </w:footnote>
  <w:footnote w:id="18">
    <w:p w:rsidR="00AA6F3E" w:rsidRDefault="00AA6F3E" w:rsidP="00AA6F3E">
      <w:pPr>
        <w:pStyle w:val="FootnoteText"/>
        <w:ind w:firstLine="425"/>
        <w:jc w:val="both"/>
      </w:pPr>
      <w:r>
        <w:rPr>
          <w:rStyle w:val="FootnoteReference"/>
        </w:rPr>
        <w:footnoteRef/>
      </w:r>
      <w:r w:rsidRPr="009759B4">
        <w:rPr>
          <w:rFonts w:ascii="Times New Roman" w:hAnsi="Times New Roman" w:cs="Times New Roman"/>
        </w:rPr>
        <w:t xml:space="preserve">Sutarno, </w:t>
      </w:r>
      <w:r>
        <w:rPr>
          <w:rFonts w:ascii="Times New Roman" w:hAnsi="Times New Roman" w:cs="Times New Roman"/>
          <w:i/>
        </w:rPr>
        <w:t>Op.cit.</w:t>
      </w:r>
      <w:r w:rsidRPr="009759B4">
        <w:rPr>
          <w:rFonts w:ascii="Times New Roman" w:hAnsi="Times New Roman" w:cs="Times New Roman"/>
        </w:rPr>
        <w:t>, hlm</w:t>
      </w:r>
      <w:r>
        <w:rPr>
          <w:rFonts w:ascii="Times New Roman" w:hAnsi="Times New Roman" w:cs="Times New Roman"/>
        </w:rPr>
        <w:t xml:space="preserve"> 152</w:t>
      </w:r>
    </w:p>
  </w:footnote>
  <w:footnote w:id="19">
    <w:p w:rsidR="00AA6F3E" w:rsidRPr="00322E82" w:rsidRDefault="00AA6F3E" w:rsidP="00AA6F3E">
      <w:pPr>
        <w:pStyle w:val="FootnoteText"/>
        <w:ind w:firstLine="425"/>
        <w:jc w:val="both"/>
        <w:rPr>
          <w:rFonts w:ascii="Times New Roman" w:hAnsi="Times New Roman" w:cs="Times New Roman"/>
        </w:rPr>
      </w:pPr>
      <w:r w:rsidRPr="00322E82">
        <w:rPr>
          <w:rStyle w:val="FootnoteReference"/>
          <w:rFonts w:ascii="Times New Roman" w:hAnsi="Times New Roman" w:cs="Times New Roman"/>
        </w:rPr>
        <w:footnoteRef/>
      </w:r>
      <w:r w:rsidRPr="00322E82">
        <w:rPr>
          <w:rFonts w:ascii="Times New Roman" w:hAnsi="Times New Roman" w:cs="Times New Roman"/>
        </w:rPr>
        <w:t xml:space="preserve">Utang yang dijamin Hak Tanggungan harus memenuhi syarat Pasal 3 UU No. 4 Tahun 1994 tentang Hak Tanggungan, yaitu : (1). Utang yang telah ada, artinya besarnya utang yang telah ditentukan  dalam perjanjian kredit. (2).  Utang yang akan ada tetapi telah diperjanjikan  dengan jumlah tertentu, (3). Utang yang akan ada tetapi jumlahnya pada saat permohonan eksekusi Hak Tanggungan  diajukan dapat ditentukan berdasarkan perjanjian kredit atau perjanjian lain yang menimbulkan utang-piutang . Sutarno, </w:t>
      </w:r>
      <w:r>
        <w:rPr>
          <w:rFonts w:ascii="Times New Roman" w:hAnsi="Times New Roman" w:cs="Times New Roman"/>
          <w:i/>
        </w:rPr>
        <w:t>Op.cit.</w:t>
      </w:r>
      <w:r w:rsidRPr="00322E82">
        <w:rPr>
          <w:rFonts w:ascii="Times New Roman" w:hAnsi="Times New Roman" w:cs="Times New Roman"/>
        </w:rPr>
        <w:t>, hlm 156</w:t>
      </w:r>
    </w:p>
    <w:p w:rsidR="00AA6F3E" w:rsidRDefault="00AA6F3E" w:rsidP="00AA6F3E">
      <w:pPr>
        <w:pStyle w:val="FootnoteText"/>
        <w:ind w:firstLine="425"/>
      </w:pPr>
    </w:p>
    <w:p w:rsidR="00AA6F3E" w:rsidRDefault="00AA6F3E" w:rsidP="00AA6F3E">
      <w:pPr>
        <w:pStyle w:val="FootnoteText"/>
        <w:ind w:firstLine="425"/>
      </w:pPr>
    </w:p>
  </w:footnote>
  <w:footnote w:id="20">
    <w:p w:rsidR="00AA6F3E" w:rsidRPr="00322E82" w:rsidRDefault="00AA6F3E" w:rsidP="00AA6F3E">
      <w:pPr>
        <w:pStyle w:val="FootnoteText"/>
        <w:ind w:firstLine="425"/>
        <w:jc w:val="both"/>
        <w:rPr>
          <w:rFonts w:ascii="Times New Roman" w:hAnsi="Times New Roman" w:cs="Times New Roman"/>
        </w:rPr>
      </w:pPr>
      <w:r w:rsidRPr="00322E82">
        <w:rPr>
          <w:rStyle w:val="FootnoteReference"/>
          <w:rFonts w:ascii="Times New Roman" w:hAnsi="Times New Roman" w:cs="Times New Roman"/>
        </w:rPr>
        <w:footnoteRef/>
      </w:r>
      <w:r w:rsidRPr="00322E82">
        <w:rPr>
          <w:rFonts w:ascii="Times New Roman" w:hAnsi="Times New Roman" w:cs="Times New Roman"/>
        </w:rPr>
        <w:t>Dengan pasal ini maka pemberian Hak Tanggungan dapat diberikan untuk : (1). Satu atau lebih kreditur yang memberikan kredit kepada satu debitur  berdasarkan perjanjian masing-masing secara bilateral  antara k</w:t>
      </w:r>
      <w:r>
        <w:rPr>
          <w:rFonts w:ascii="Times New Roman" w:hAnsi="Times New Roman" w:cs="Times New Roman"/>
        </w:rPr>
        <w:t>reditur-kreditur dengan debitur, (2). Beberapa kreditur secara bersama-sama memberikan memberikan kredit kepada satu debitur berdasarkan  satu perjanjian. Ibid, hlm 157</w:t>
      </w:r>
    </w:p>
  </w:footnote>
  <w:footnote w:id="21">
    <w:p w:rsidR="00AA6F3E" w:rsidRPr="00E95BA8" w:rsidRDefault="00AA6F3E" w:rsidP="00AA6F3E">
      <w:pPr>
        <w:pStyle w:val="ListParagraph"/>
        <w:spacing w:line="240" w:lineRule="auto"/>
        <w:ind w:left="0" w:firstLine="425"/>
        <w:jc w:val="both"/>
        <w:rPr>
          <w:rFonts w:ascii="Times New Roman" w:hAnsi="Times New Roman" w:cs="Times New Roman"/>
          <w:sz w:val="20"/>
          <w:szCs w:val="20"/>
        </w:rPr>
      </w:pPr>
      <w:r w:rsidRPr="00E95BA8">
        <w:rPr>
          <w:rStyle w:val="FootnoteReference"/>
          <w:sz w:val="20"/>
          <w:szCs w:val="20"/>
        </w:rPr>
        <w:footnoteRef/>
      </w:r>
      <w:r w:rsidRPr="00E95BA8">
        <w:rPr>
          <w:rFonts w:ascii="Times New Roman" w:hAnsi="Times New Roman" w:cs="Times New Roman"/>
          <w:sz w:val="20"/>
          <w:szCs w:val="20"/>
        </w:rPr>
        <w:t xml:space="preserve">Pasal 6 berbunyi : “Apabila debitur cidera janji, pemegang Hak Tanggungan pertama mempunyai  hak untuk menjual </w:t>
      </w:r>
      <w:r>
        <w:rPr>
          <w:rFonts w:ascii="Times New Roman" w:hAnsi="Times New Roman" w:cs="Times New Roman"/>
          <w:sz w:val="20"/>
          <w:szCs w:val="20"/>
        </w:rPr>
        <w:t>obj</w:t>
      </w:r>
      <w:r w:rsidRPr="00E95BA8">
        <w:rPr>
          <w:rFonts w:ascii="Times New Roman" w:hAnsi="Times New Roman" w:cs="Times New Roman"/>
          <w:sz w:val="20"/>
          <w:szCs w:val="20"/>
        </w:rPr>
        <w:t>ek Hak Tanggungan atas kekuasaan sendiri melalui pelelangan umum serta mengambil pelunasan piutangnya dari hasil penjualan tersebut.</w:t>
      </w:r>
    </w:p>
    <w:p w:rsidR="00AA6F3E" w:rsidRDefault="00AA6F3E" w:rsidP="00AA6F3E">
      <w:pPr>
        <w:pStyle w:val="FootnoteText"/>
        <w:ind w:left="284"/>
      </w:pPr>
    </w:p>
  </w:footnote>
  <w:footnote w:id="22">
    <w:p w:rsidR="00AA6F3E" w:rsidRPr="00842658" w:rsidRDefault="00AA6F3E" w:rsidP="00AA6F3E">
      <w:pPr>
        <w:pStyle w:val="FootnoteText"/>
        <w:ind w:firstLine="425"/>
        <w:jc w:val="both"/>
        <w:rPr>
          <w:rFonts w:ascii="Times New Roman" w:hAnsi="Times New Roman" w:cs="Times New Roman"/>
        </w:rPr>
      </w:pPr>
      <w:r>
        <w:rPr>
          <w:rStyle w:val="FootnoteReference"/>
        </w:rPr>
        <w:footnoteRef/>
      </w:r>
      <w:r w:rsidRPr="00842658">
        <w:rPr>
          <w:rFonts w:ascii="Times New Roman" w:hAnsi="Times New Roman" w:cs="Times New Roman"/>
        </w:rPr>
        <w:t xml:space="preserve">Sutarno, </w:t>
      </w:r>
      <w:r>
        <w:rPr>
          <w:rFonts w:ascii="Times New Roman" w:hAnsi="Times New Roman" w:cs="Times New Roman"/>
          <w:i/>
        </w:rPr>
        <w:t>Op.cit.</w:t>
      </w:r>
      <w:r w:rsidRPr="00842658">
        <w:rPr>
          <w:rFonts w:ascii="Times New Roman" w:hAnsi="Times New Roman" w:cs="Times New Roman"/>
        </w:rPr>
        <w:t xml:space="preserve">, </w:t>
      </w:r>
      <w:r>
        <w:rPr>
          <w:rFonts w:ascii="Times New Roman" w:hAnsi="Times New Roman" w:cs="Times New Roman"/>
        </w:rPr>
        <w:t>hlm 164-165</w:t>
      </w:r>
    </w:p>
    <w:p w:rsidR="00AA6F3E" w:rsidRDefault="00AA6F3E" w:rsidP="00AA6F3E">
      <w:pPr>
        <w:pStyle w:val="FootnoteText"/>
      </w:pPr>
    </w:p>
  </w:footnote>
  <w:footnote w:id="23">
    <w:p w:rsidR="00AA6F3E" w:rsidRPr="00D8085C" w:rsidRDefault="00AA6F3E" w:rsidP="00AA6F3E">
      <w:pPr>
        <w:pStyle w:val="FootnoteText"/>
        <w:ind w:firstLine="426"/>
        <w:jc w:val="both"/>
        <w:rPr>
          <w:rFonts w:ascii="Times New Roman" w:hAnsi="Times New Roman" w:cs="Times New Roman"/>
        </w:rPr>
      </w:pPr>
      <w:r>
        <w:rPr>
          <w:rStyle w:val="FootnoteReference"/>
        </w:rPr>
        <w:footnoteRef/>
      </w:r>
      <w:r w:rsidRPr="00D8085C">
        <w:rPr>
          <w:rFonts w:ascii="Times New Roman" w:hAnsi="Times New Roman" w:cs="Times New Roman"/>
        </w:rPr>
        <w:t xml:space="preserve">Boedi Harsono, </w:t>
      </w:r>
      <w:r>
        <w:rPr>
          <w:rFonts w:ascii="Times New Roman" w:hAnsi="Times New Roman" w:cs="Times New Roman"/>
          <w:i/>
        </w:rPr>
        <w:t>Op.cit.</w:t>
      </w:r>
      <w:r>
        <w:rPr>
          <w:rFonts w:ascii="Times New Roman" w:hAnsi="Times New Roman" w:cs="Times New Roman"/>
        </w:rPr>
        <w:t>, hlm 424-425</w:t>
      </w:r>
    </w:p>
    <w:p w:rsidR="00AA6F3E" w:rsidRDefault="00AA6F3E" w:rsidP="00AA6F3E">
      <w:pPr>
        <w:pStyle w:val="FootnoteText"/>
      </w:pPr>
    </w:p>
  </w:footnote>
  <w:footnote w:id="24">
    <w:p w:rsidR="00AA6F3E" w:rsidRPr="00842658" w:rsidRDefault="00AA6F3E" w:rsidP="00AA6F3E">
      <w:pPr>
        <w:pStyle w:val="FootnoteText"/>
        <w:ind w:firstLine="425"/>
        <w:jc w:val="both"/>
        <w:rPr>
          <w:rFonts w:ascii="Times New Roman" w:hAnsi="Times New Roman" w:cs="Times New Roman"/>
        </w:rPr>
      </w:pPr>
      <w:r w:rsidRPr="00842658">
        <w:rPr>
          <w:rStyle w:val="FootnoteReference"/>
          <w:rFonts w:ascii="Times New Roman" w:hAnsi="Times New Roman" w:cs="Times New Roman"/>
        </w:rPr>
        <w:footnoteRef/>
      </w:r>
      <w:r w:rsidRPr="00842658">
        <w:rPr>
          <w:rFonts w:ascii="Times New Roman" w:hAnsi="Times New Roman" w:cs="Times New Roman"/>
        </w:rPr>
        <w:t>Mariam Darus Badrulzaman</w:t>
      </w:r>
      <w:r>
        <w:rPr>
          <w:rFonts w:ascii="Times New Roman" w:hAnsi="Times New Roman" w:cs="Times New Roman"/>
        </w:rPr>
        <w:t xml:space="preserve">, </w:t>
      </w:r>
      <w:r>
        <w:rPr>
          <w:rFonts w:ascii="Times New Roman" w:hAnsi="Times New Roman" w:cs="Times New Roman"/>
          <w:i/>
        </w:rPr>
        <w:t xml:space="preserve">Perjanjian Kredit Bank, </w:t>
      </w:r>
      <w:r w:rsidRPr="00842658">
        <w:rPr>
          <w:rFonts w:ascii="Times New Roman" w:hAnsi="Times New Roman" w:cs="Times New Roman"/>
        </w:rPr>
        <w:t xml:space="preserve"> dikutip </w:t>
      </w:r>
      <w:r>
        <w:rPr>
          <w:rFonts w:ascii="Times New Roman" w:hAnsi="Times New Roman" w:cs="Times New Roman"/>
        </w:rPr>
        <w:t xml:space="preserve">dari </w:t>
      </w:r>
      <w:r w:rsidRPr="00842658">
        <w:rPr>
          <w:rFonts w:ascii="Times New Roman" w:hAnsi="Times New Roman" w:cs="Times New Roman"/>
        </w:rPr>
        <w:t xml:space="preserve">Sutarno, </w:t>
      </w:r>
      <w:r>
        <w:rPr>
          <w:rFonts w:ascii="Times New Roman" w:hAnsi="Times New Roman" w:cs="Times New Roman"/>
          <w:i/>
        </w:rPr>
        <w:t>Op.cit.</w:t>
      </w:r>
      <w:r w:rsidRPr="00842658">
        <w:rPr>
          <w:rFonts w:ascii="Times New Roman" w:hAnsi="Times New Roman" w:cs="Times New Roman"/>
        </w:rPr>
        <w:t xml:space="preserve">, </w:t>
      </w:r>
      <w:r>
        <w:rPr>
          <w:rFonts w:ascii="Times New Roman" w:hAnsi="Times New Roman" w:cs="Times New Roman"/>
        </w:rPr>
        <w:t>hlm 16</w:t>
      </w:r>
      <w:r w:rsidRPr="00842658">
        <w:rPr>
          <w:rFonts w:ascii="Times New Roman" w:hAnsi="Times New Roman" w:cs="Times New Roman"/>
        </w:rPr>
        <w:t>6</w:t>
      </w:r>
    </w:p>
    <w:p w:rsidR="00AA6F3E" w:rsidRDefault="00AA6F3E" w:rsidP="00AA6F3E">
      <w:pPr>
        <w:pStyle w:val="FootnoteText"/>
        <w:ind w:firstLine="425"/>
      </w:pPr>
    </w:p>
  </w:footnote>
  <w:footnote w:id="25">
    <w:p w:rsidR="00AA6F3E" w:rsidRPr="00D8085C" w:rsidRDefault="00AA6F3E" w:rsidP="00AA6F3E">
      <w:pPr>
        <w:pStyle w:val="FootnoteText"/>
        <w:ind w:firstLine="425"/>
        <w:jc w:val="both"/>
        <w:rPr>
          <w:rFonts w:ascii="Times New Roman" w:hAnsi="Times New Roman" w:cs="Times New Roman"/>
        </w:rPr>
      </w:pPr>
      <w:r>
        <w:rPr>
          <w:rStyle w:val="FootnoteReference"/>
        </w:rPr>
        <w:footnoteRef/>
      </w:r>
      <w:r w:rsidRPr="00D8085C">
        <w:rPr>
          <w:rFonts w:ascii="Times New Roman" w:hAnsi="Times New Roman" w:cs="Times New Roman"/>
        </w:rPr>
        <w:t>Boedi Harsono,</w:t>
      </w:r>
      <w:r>
        <w:rPr>
          <w:rFonts w:ascii="Times New Roman" w:hAnsi="Times New Roman" w:cs="Times New Roman"/>
          <w:i/>
        </w:rPr>
        <w:t>Op.cit.</w:t>
      </w:r>
      <w:r>
        <w:rPr>
          <w:rFonts w:ascii="Times New Roman" w:hAnsi="Times New Roman" w:cs="Times New Roman"/>
        </w:rPr>
        <w:t>, hlm 419</w:t>
      </w:r>
    </w:p>
    <w:p w:rsidR="00AA6F3E" w:rsidRDefault="00AA6F3E" w:rsidP="00AA6F3E">
      <w:pPr>
        <w:pStyle w:val="FootnoteText"/>
        <w:ind w:left="709" w:firstLine="425"/>
      </w:pPr>
    </w:p>
  </w:footnote>
  <w:footnote w:id="26">
    <w:p w:rsidR="00AA6F3E" w:rsidRPr="00032C49" w:rsidRDefault="00AA6F3E" w:rsidP="00AA6F3E">
      <w:pPr>
        <w:pStyle w:val="FootnoteText"/>
        <w:ind w:firstLine="425"/>
        <w:jc w:val="both"/>
        <w:rPr>
          <w:rFonts w:ascii="Times New Roman" w:hAnsi="Times New Roman" w:cs="Times New Roman"/>
        </w:rPr>
      </w:pPr>
      <w:r w:rsidRPr="00032C49">
        <w:rPr>
          <w:rStyle w:val="FootnoteReference"/>
          <w:rFonts w:ascii="Times New Roman" w:hAnsi="Times New Roman" w:cs="Times New Roman"/>
        </w:rPr>
        <w:footnoteRef/>
      </w:r>
      <w:r w:rsidRPr="00032C49">
        <w:rPr>
          <w:rFonts w:ascii="Times New Roman" w:hAnsi="Times New Roman" w:cs="Times New Roman"/>
        </w:rPr>
        <w:t xml:space="preserve">Riky Rustam, </w:t>
      </w:r>
      <w:r w:rsidRPr="00032C49">
        <w:rPr>
          <w:rFonts w:ascii="Times New Roman" w:hAnsi="Times New Roman" w:cs="Times New Roman"/>
          <w:i/>
        </w:rPr>
        <w:t>Hukum Jaminan</w:t>
      </w:r>
      <w:r w:rsidRPr="00032C49">
        <w:rPr>
          <w:rFonts w:ascii="Times New Roman" w:hAnsi="Times New Roman" w:cs="Times New Roman"/>
        </w:rPr>
        <w:t>, Cetakan Pertama ( Yogyakarta : UII Press, 2017), hlm 201</w:t>
      </w:r>
    </w:p>
  </w:footnote>
  <w:footnote w:id="27">
    <w:p w:rsidR="00AA6F3E" w:rsidRPr="00032C49" w:rsidRDefault="00AA6F3E" w:rsidP="00AA6F3E">
      <w:pPr>
        <w:pStyle w:val="FootnoteText"/>
        <w:ind w:firstLine="425"/>
        <w:jc w:val="both"/>
        <w:rPr>
          <w:rFonts w:ascii="Times New Roman" w:hAnsi="Times New Roman" w:cs="Times New Roman"/>
        </w:rPr>
      </w:pPr>
      <w:r>
        <w:rPr>
          <w:rStyle w:val="FootnoteReference"/>
        </w:rPr>
        <w:footnoteRef/>
      </w:r>
      <w:r w:rsidRPr="00032C49">
        <w:rPr>
          <w:rFonts w:ascii="Times New Roman" w:hAnsi="Times New Roman" w:cs="Times New Roman"/>
        </w:rPr>
        <w:t xml:space="preserve">Riky Rustam, </w:t>
      </w:r>
      <w:r>
        <w:rPr>
          <w:rFonts w:ascii="Times New Roman" w:hAnsi="Times New Roman" w:cs="Times New Roman"/>
          <w:i/>
        </w:rPr>
        <w:t>Op.cit.</w:t>
      </w:r>
      <w:r w:rsidRPr="00032C49">
        <w:rPr>
          <w:rFonts w:ascii="Times New Roman" w:hAnsi="Times New Roman" w:cs="Times New Roman"/>
        </w:rPr>
        <w:t>, hlm 20</w:t>
      </w:r>
      <w:r>
        <w:rPr>
          <w:rFonts w:ascii="Times New Roman" w:hAnsi="Times New Roman" w:cs="Times New Roman"/>
        </w:rPr>
        <w:t>2</w:t>
      </w:r>
    </w:p>
    <w:p w:rsidR="00AA6F3E" w:rsidRDefault="00AA6F3E" w:rsidP="00AA6F3E">
      <w:pPr>
        <w:pStyle w:val="FootnoteText"/>
        <w:ind w:firstLine="425"/>
        <w:jc w:val="both"/>
      </w:pPr>
    </w:p>
  </w:footnote>
  <w:footnote w:id="28">
    <w:p w:rsidR="00AA6F3E" w:rsidRPr="00515A49" w:rsidRDefault="00AA6F3E" w:rsidP="00AA6F3E">
      <w:pPr>
        <w:pStyle w:val="FootnoteText"/>
        <w:ind w:firstLine="425"/>
        <w:jc w:val="both"/>
        <w:rPr>
          <w:rFonts w:ascii="Times New Roman" w:hAnsi="Times New Roman" w:cs="Times New Roman"/>
        </w:rPr>
      </w:pPr>
      <w:r w:rsidRPr="00515A49">
        <w:rPr>
          <w:rStyle w:val="FootnoteReference"/>
          <w:rFonts w:ascii="Times New Roman" w:hAnsi="Times New Roman" w:cs="Times New Roman"/>
        </w:rPr>
        <w:footnoteRef/>
      </w:r>
      <w:r w:rsidRPr="00515A49">
        <w:rPr>
          <w:rFonts w:ascii="Times New Roman" w:hAnsi="Times New Roman" w:cs="Times New Roman"/>
        </w:rPr>
        <w:t xml:space="preserve">Luthfan Hadi Darus, </w:t>
      </w:r>
      <w:r w:rsidRPr="00515A49">
        <w:rPr>
          <w:rFonts w:ascii="Times New Roman" w:hAnsi="Times New Roman" w:cs="Times New Roman"/>
          <w:i/>
        </w:rPr>
        <w:t>Hukum Notariat dan Tanggungjawab Jabatan Notaris</w:t>
      </w:r>
      <w:r w:rsidRPr="00515A49">
        <w:rPr>
          <w:rFonts w:ascii="Times New Roman" w:hAnsi="Times New Roman" w:cs="Times New Roman"/>
        </w:rPr>
        <w:t>, Cetakan Pertama (Yogyakarta : UII Press, 2017), hlm 2</w:t>
      </w:r>
    </w:p>
  </w:footnote>
  <w:footnote w:id="29">
    <w:p w:rsidR="00AA6F3E" w:rsidRPr="003038FC" w:rsidRDefault="00AA6F3E" w:rsidP="00AA6F3E">
      <w:pPr>
        <w:pStyle w:val="FootnoteText"/>
        <w:ind w:firstLine="425"/>
        <w:jc w:val="both"/>
        <w:rPr>
          <w:rFonts w:ascii="Times New Roman" w:hAnsi="Times New Roman" w:cs="Times New Roman"/>
        </w:rPr>
      </w:pPr>
      <w:r w:rsidRPr="003038FC">
        <w:rPr>
          <w:rStyle w:val="FootnoteReference"/>
          <w:rFonts w:ascii="Times New Roman" w:hAnsi="Times New Roman" w:cs="Times New Roman"/>
        </w:rPr>
        <w:footnoteRef/>
      </w:r>
      <w:r>
        <w:rPr>
          <w:rFonts w:ascii="Times New Roman" w:hAnsi="Times New Roman" w:cs="Times New Roman"/>
        </w:rPr>
        <w:t>Hak lama adalah hak atas t</w:t>
      </w:r>
      <w:r w:rsidRPr="003038FC">
        <w:rPr>
          <w:rFonts w:ascii="Times New Roman" w:hAnsi="Times New Roman" w:cs="Times New Roman"/>
        </w:rPr>
        <w:t>anah yang bukti kepemilikannya berupa girik, petuk dan lain-lain yang sejenis</w:t>
      </w:r>
    </w:p>
  </w:footnote>
  <w:footnote w:id="30">
    <w:p w:rsidR="00AA6F3E" w:rsidRPr="00FB2975" w:rsidRDefault="00AA6F3E" w:rsidP="00AA6F3E">
      <w:pPr>
        <w:pStyle w:val="FootnoteText"/>
        <w:ind w:firstLine="425"/>
        <w:jc w:val="both"/>
        <w:rPr>
          <w:rFonts w:ascii="Times New Roman" w:hAnsi="Times New Roman" w:cs="Times New Roman"/>
        </w:rPr>
      </w:pPr>
      <w:r w:rsidRPr="00FB2975">
        <w:rPr>
          <w:rStyle w:val="FootnoteReference"/>
          <w:rFonts w:ascii="Times New Roman" w:hAnsi="Times New Roman" w:cs="Times New Roman"/>
        </w:rPr>
        <w:footnoteRef/>
      </w:r>
      <w:r w:rsidRPr="00FB2975">
        <w:rPr>
          <w:rFonts w:ascii="Times New Roman" w:hAnsi="Times New Roman" w:cs="Times New Roman"/>
        </w:rPr>
        <w:t>Dalam praktek perbankan, pemberian Hak Tanggungan yang ditandai dengan pembuatan APHT ini dapat dilakukan dengan 2 (dua) cara, yaitu : (1). Penandatanganan APHT dilakukan oleh pemilik jaminan bersamaan dengan  penandatangan perjanjian kredit sebagai perjanjian pokok, (2). Dengan membuat Surat Kuasa Membebankan Hak Tanggungan (SKMHT)</w:t>
      </w:r>
      <w:r>
        <w:rPr>
          <w:rFonts w:ascii="Times New Roman" w:hAnsi="Times New Roman" w:cs="Times New Roman"/>
        </w:rPr>
        <w:t>. Pembuatan SKMHT dilakukan karena pemilik jaminan ( debitur atau pihak lain bukan debitur), pada saat penandatanganan perjanjian kredit tidak bisa segera dilakukan pembebanan APHT. SKMHT adalah surat kuasa khusus yang dibuat oleh  dan di hadapan PPAT atau Notaris yang ditandatangani pemilik jaminan kepada kreditur (bank) untuk menandatangani APHT. Ibid, hlm 169</w:t>
      </w:r>
    </w:p>
  </w:footnote>
  <w:footnote w:id="31">
    <w:p w:rsidR="00AA6F3E" w:rsidRPr="008235F7" w:rsidRDefault="00AA6F3E" w:rsidP="00AA6F3E">
      <w:pPr>
        <w:pStyle w:val="FootnoteText"/>
        <w:ind w:firstLine="567"/>
        <w:jc w:val="both"/>
        <w:rPr>
          <w:rFonts w:ascii="Times New Roman" w:hAnsi="Times New Roman" w:cs="Times New Roman"/>
        </w:rPr>
      </w:pPr>
      <w:r w:rsidRPr="008235F7">
        <w:rPr>
          <w:rStyle w:val="FootnoteReference"/>
          <w:rFonts w:ascii="Times New Roman" w:hAnsi="Times New Roman" w:cs="Times New Roman"/>
        </w:rPr>
        <w:footnoteRef/>
      </w:r>
      <w:r w:rsidRPr="008235F7">
        <w:rPr>
          <w:rFonts w:ascii="Times New Roman" w:hAnsi="Times New Roman" w:cs="Times New Roman"/>
        </w:rPr>
        <w:t xml:space="preserve">Hofmann dikutip </w:t>
      </w:r>
      <w:r>
        <w:rPr>
          <w:rFonts w:ascii="Times New Roman" w:hAnsi="Times New Roman" w:cs="Times New Roman"/>
        </w:rPr>
        <w:t xml:space="preserve">dari </w:t>
      </w:r>
      <w:r w:rsidRPr="008235F7">
        <w:rPr>
          <w:rFonts w:ascii="Times New Roman" w:hAnsi="Times New Roman" w:cs="Times New Roman"/>
        </w:rPr>
        <w:t>Setiawan</w:t>
      </w:r>
      <w:r>
        <w:rPr>
          <w:rFonts w:ascii="Times New Roman" w:hAnsi="Times New Roman" w:cs="Times New Roman"/>
        </w:rPr>
        <w:t>. R</w:t>
      </w:r>
      <w:r w:rsidRPr="008235F7">
        <w:rPr>
          <w:rFonts w:ascii="Times New Roman" w:hAnsi="Times New Roman" w:cs="Times New Roman"/>
        </w:rPr>
        <w:t xml:space="preserve">, </w:t>
      </w:r>
      <w:r w:rsidRPr="008235F7">
        <w:rPr>
          <w:rFonts w:ascii="Times New Roman" w:hAnsi="Times New Roman" w:cs="Times New Roman"/>
          <w:i/>
        </w:rPr>
        <w:t>Pokok-Pokok Hukum Perikatan</w:t>
      </w:r>
      <w:r w:rsidRPr="008235F7">
        <w:rPr>
          <w:rFonts w:ascii="Times New Roman" w:hAnsi="Times New Roman" w:cs="Times New Roman"/>
        </w:rPr>
        <w:t>,Cetakan Keenam ( Putra A Bardin, 1999), hlm 2</w:t>
      </w:r>
    </w:p>
  </w:footnote>
  <w:footnote w:id="32">
    <w:p w:rsidR="00AA6F3E" w:rsidRPr="008235F7" w:rsidRDefault="00AA6F3E" w:rsidP="00AA6F3E">
      <w:pPr>
        <w:pStyle w:val="FootnoteText"/>
        <w:ind w:firstLine="567"/>
        <w:jc w:val="both"/>
        <w:rPr>
          <w:rFonts w:ascii="Times New Roman" w:hAnsi="Times New Roman" w:cs="Times New Roman"/>
        </w:rPr>
      </w:pPr>
      <w:r>
        <w:rPr>
          <w:rStyle w:val="FootnoteReference"/>
        </w:rPr>
        <w:footnoteRef/>
      </w:r>
      <w:r>
        <w:rPr>
          <w:rFonts w:ascii="Times New Roman" w:hAnsi="Times New Roman" w:cs="Times New Roman"/>
        </w:rPr>
        <w:t xml:space="preserve">Pitlo </w:t>
      </w:r>
      <w:r w:rsidRPr="008235F7">
        <w:rPr>
          <w:rFonts w:ascii="Times New Roman" w:hAnsi="Times New Roman" w:cs="Times New Roman"/>
        </w:rPr>
        <w:t xml:space="preserve">dikutip </w:t>
      </w:r>
      <w:r>
        <w:rPr>
          <w:rFonts w:ascii="Times New Roman" w:hAnsi="Times New Roman" w:cs="Times New Roman"/>
        </w:rPr>
        <w:t xml:space="preserve">dari </w:t>
      </w:r>
      <w:r w:rsidRPr="008235F7">
        <w:rPr>
          <w:rFonts w:ascii="Times New Roman" w:hAnsi="Times New Roman" w:cs="Times New Roman"/>
        </w:rPr>
        <w:t>Setiawan</w:t>
      </w:r>
      <w:r>
        <w:rPr>
          <w:rFonts w:ascii="Times New Roman" w:hAnsi="Times New Roman" w:cs="Times New Roman"/>
        </w:rPr>
        <w:t>. R</w:t>
      </w:r>
      <w:r w:rsidRPr="008235F7">
        <w:rPr>
          <w:rFonts w:ascii="Times New Roman" w:hAnsi="Times New Roman" w:cs="Times New Roman"/>
        </w:rPr>
        <w:t xml:space="preserve">, </w:t>
      </w:r>
      <w:r>
        <w:rPr>
          <w:rFonts w:ascii="Times New Roman" w:hAnsi="Times New Roman" w:cs="Times New Roman"/>
          <w:i/>
        </w:rPr>
        <w:t>Ibid.</w:t>
      </w:r>
      <w:r w:rsidRPr="008235F7">
        <w:rPr>
          <w:rFonts w:ascii="Times New Roman" w:hAnsi="Times New Roman" w:cs="Times New Roman"/>
        </w:rPr>
        <w:t>, hlm 2</w:t>
      </w:r>
    </w:p>
    <w:p w:rsidR="00AA6F3E" w:rsidRDefault="00AA6F3E" w:rsidP="00AA6F3E">
      <w:pPr>
        <w:pStyle w:val="FootnoteText"/>
        <w:ind w:firstLine="567"/>
      </w:pPr>
    </w:p>
  </w:footnote>
  <w:footnote w:id="33">
    <w:p w:rsidR="00AA6F3E" w:rsidRPr="00032C49" w:rsidRDefault="00AA6F3E" w:rsidP="00AA6F3E">
      <w:pPr>
        <w:pStyle w:val="FootnoteText"/>
        <w:ind w:firstLine="567"/>
        <w:jc w:val="both"/>
        <w:rPr>
          <w:rFonts w:ascii="Times New Roman" w:hAnsi="Times New Roman" w:cs="Times New Roman"/>
        </w:rPr>
      </w:pPr>
      <w:r>
        <w:rPr>
          <w:rStyle w:val="FootnoteReference"/>
        </w:rPr>
        <w:footnoteRef/>
      </w:r>
      <w:r w:rsidRPr="00032C49">
        <w:rPr>
          <w:rFonts w:ascii="Times New Roman" w:hAnsi="Times New Roman" w:cs="Times New Roman"/>
        </w:rPr>
        <w:t xml:space="preserve">Riky Rustam, </w:t>
      </w:r>
      <w:r>
        <w:rPr>
          <w:rFonts w:ascii="Times New Roman" w:hAnsi="Times New Roman" w:cs="Times New Roman"/>
          <w:i/>
        </w:rPr>
        <w:t>Op.cit.</w:t>
      </w:r>
      <w:r w:rsidRPr="00032C49">
        <w:rPr>
          <w:rFonts w:ascii="Times New Roman" w:hAnsi="Times New Roman" w:cs="Times New Roman"/>
        </w:rPr>
        <w:t>, hlm 20</w:t>
      </w:r>
      <w:r>
        <w:rPr>
          <w:rFonts w:ascii="Times New Roman" w:hAnsi="Times New Roman" w:cs="Times New Roman"/>
        </w:rPr>
        <w:t>0</w:t>
      </w:r>
    </w:p>
    <w:p w:rsidR="00AA6F3E" w:rsidRDefault="00AA6F3E" w:rsidP="00AA6F3E">
      <w:pPr>
        <w:pStyle w:val="FootnoteText"/>
        <w:ind w:firstLine="567"/>
      </w:pPr>
    </w:p>
  </w:footnote>
  <w:footnote w:id="34">
    <w:p w:rsidR="00AA6F3E" w:rsidRPr="00032C49" w:rsidRDefault="00AA6F3E" w:rsidP="00AA6F3E">
      <w:pPr>
        <w:pStyle w:val="FootnoteText"/>
        <w:ind w:firstLine="567"/>
        <w:jc w:val="both"/>
        <w:rPr>
          <w:rFonts w:ascii="Times New Roman" w:hAnsi="Times New Roman" w:cs="Times New Roman"/>
        </w:rPr>
      </w:pPr>
      <w:r>
        <w:rPr>
          <w:rStyle w:val="FootnoteReference"/>
        </w:rPr>
        <w:footnoteRef/>
      </w:r>
      <w:r w:rsidRPr="00032C49">
        <w:rPr>
          <w:rFonts w:ascii="Times New Roman" w:hAnsi="Times New Roman" w:cs="Times New Roman"/>
        </w:rPr>
        <w:t xml:space="preserve">Riky Rustam, </w:t>
      </w:r>
      <w:r>
        <w:rPr>
          <w:rFonts w:ascii="Times New Roman" w:hAnsi="Times New Roman" w:cs="Times New Roman"/>
          <w:i/>
        </w:rPr>
        <w:t>Op.cit.</w:t>
      </w:r>
      <w:r w:rsidRPr="00032C49">
        <w:rPr>
          <w:rFonts w:ascii="Times New Roman" w:hAnsi="Times New Roman" w:cs="Times New Roman"/>
        </w:rPr>
        <w:t>, hlm 20</w:t>
      </w:r>
      <w:r>
        <w:rPr>
          <w:rFonts w:ascii="Times New Roman" w:hAnsi="Times New Roman" w:cs="Times New Roman"/>
        </w:rPr>
        <w:t>0</w:t>
      </w:r>
    </w:p>
    <w:p w:rsidR="00AA6F3E" w:rsidRDefault="00AA6F3E" w:rsidP="00AA6F3E">
      <w:pPr>
        <w:pStyle w:val="FootnoteText"/>
        <w:ind w:firstLine="567"/>
      </w:pPr>
      <w:r>
        <w:t xml:space="preserve"> </w:t>
      </w:r>
    </w:p>
  </w:footnote>
  <w:footnote w:id="35">
    <w:p w:rsidR="00AA6F3E" w:rsidRPr="00D34F27" w:rsidRDefault="00AA6F3E" w:rsidP="00AA6F3E">
      <w:pPr>
        <w:pStyle w:val="FootnoteText"/>
        <w:ind w:firstLine="567"/>
        <w:jc w:val="both"/>
        <w:rPr>
          <w:rFonts w:ascii="Times New Roman" w:hAnsi="Times New Roman" w:cs="Times New Roman"/>
        </w:rPr>
      </w:pPr>
      <w:r w:rsidRPr="00D34F27">
        <w:rPr>
          <w:rStyle w:val="FootnoteReference"/>
          <w:rFonts w:ascii="Times New Roman" w:hAnsi="Times New Roman" w:cs="Times New Roman"/>
        </w:rPr>
        <w:footnoteRef/>
      </w:r>
      <w:r w:rsidRPr="00D34F27">
        <w:rPr>
          <w:rFonts w:ascii="Times New Roman" w:hAnsi="Times New Roman" w:cs="Times New Roman"/>
        </w:rPr>
        <w:t xml:space="preserve">Munir Fuady, </w:t>
      </w:r>
      <w:r w:rsidRPr="003C10FD">
        <w:rPr>
          <w:rFonts w:ascii="Times New Roman" w:hAnsi="Times New Roman" w:cs="Times New Roman"/>
          <w:i/>
        </w:rPr>
        <w:t>Op</w:t>
      </w:r>
      <w:r>
        <w:rPr>
          <w:rFonts w:ascii="Times New Roman" w:hAnsi="Times New Roman" w:cs="Times New Roman"/>
          <w:i/>
        </w:rPr>
        <w:t xml:space="preserve">.cit., </w:t>
      </w:r>
      <w:r w:rsidRPr="00D34F27">
        <w:rPr>
          <w:rFonts w:ascii="Times New Roman" w:hAnsi="Times New Roman" w:cs="Times New Roman"/>
        </w:rPr>
        <w:t>hlm 90</w:t>
      </w:r>
    </w:p>
  </w:footnote>
  <w:footnote w:id="36">
    <w:p w:rsidR="00AA6F3E" w:rsidRPr="00D8085C" w:rsidRDefault="00AA6F3E" w:rsidP="00AA6F3E">
      <w:pPr>
        <w:pStyle w:val="FootnoteText"/>
        <w:ind w:firstLine="567"/>
        <w:jc w:val="both"/>
        <w:rPr>
          <w:rFonts w:ascii="Times New Roman" w:hAnsi="Times New Roman" w:cs="Times New Roman"/>
        </w:rPr>
      </w:pPr>
      <w:r>
        <w:rPr>
          <w:rStyle w:val="FootnoteReference"/>
        </w:rPr>
        <w:footnoteRef/>
      </w:r>
      <w:r w:rsidRPr="00D8085C">
        <w:rPr>
          <w:rFonts w:ascii="Times New Roman" w:hAnsi="Times New Roman" w:cs="Times New Roman"/>
        </w:rPr>
        <w:t xml:space="preserve">Boedi Harsono, </w:t>
      </w:r>
      <w:r w:rsidRPr="006F713C">
        <w:rPr>
          <w:rFonts w:ascii="Times New Roman" w:hAnsi="Times New Roman" w:cs="Times New Roman"/>
          <w:i/>
        </w:rPr>
        <w:t>Op.cit</w:t>
      </w:r>
      <w:r>
        <w:rPr>
          <w:rFonts w:ascii="Times New Roman" w:hAnsi="Times New Roman" w:cs="Times New Roman"/>
          <w:i/>
        </w:rPr>
        <w:t>.,</w:t>
      </w:r>
      <w:r>
        <w:rPr>
          <w:rFonts w:ascii="Times New Roman" w:hAnsi="Times New Roman" w:cs="Times New Roman"/>
        </w:rPr>
        <w:t xml:space="preserve"> hlm 455</w:t>
      </w:r>
    </w:p>
    <w:p w:rsidR="00AA6F3E" w:rsidRDefault="00AA6F3E" w:rsidP="00AA6F3E">
      <w:pPr>
        <w:pStyle w:val="FootnoteText"/>
        <w:ind w:firstLine="567"/>
      </w:pPr>
    </w:p>
  </w:footnote>
  <w:footnote w:id="37">
    <w:p w:rsidR="00AA6F3E" w:rsidRPr="00D8085C" w:rsidRDefault="00AA6F3E" w:rsidP="00AA6F3E">
      <w:pPr>
        <w:pStyle w:val="FootnoteText"/>
        <w:ind w:firstLine="567"/>
        <w:jc w:val="both"/>
        <w:rPr>
          <w:rFonts w:ascii="Times New Roman" w:hAnsi="Times New Roman" w:cs="Times New Roman"/>
        </w:rPr>
      </w:pPr>
      <w:r>
        <w:rPr>
          <w:rStyle w:val="FootnoteReference"/>
        </w:rPr>
        <w:footnoteRef/>
      </w:r>
      <w:r>
        <w:t xml:space="preserve"> </w:t>
      </w:r>
      <w:r w:rsidRPr="00D8085C">
        <w:rPr>
          <w:rFonts w:ascii="Times New Roman" w:hAnsi="Times New Roman" w:cs="Times New Roman"/>
        </w:rPr>
        <w:t xml:space="preserve">Boedi Harsono, </w:t>
      </w:r>
      <w:r>
        <w:rPr>
          <w:rFonts w:ascii="Times New Roman" w:hAnsi="Times New Roman" w:cs="Times New Roman"/>
          <w:i/>
        </w:rPr>
        <w:t>Op.cit.,</w:t>
      </w:r>
      <w:r>
        <w:rPr>
          <w:rFonts w:ascii="Times New Roman" w:hAnsi="Times New Roman" w:cs="Times New Roman"/>
        </w:rPr>
        <w:t xml:space="preserve"> hlm 457</w:t>
      </w:r>
    </w:p>
    <w:p w:rsidR="00AA6F3E" w:rsidRDefault="00AA6F3E" w:rsidP="00AA6F3E">
      <w:pPr>
        <w:pStyle w:val="FootnoteText"/>
      </w:pPr>
    </w:p>
  </w:footnote>
  <w:footnote w:id="38">
    <w:p w:rsidR="00AA6F3E" w:rsidRPr="00B30E2F" w:rsidRDefault="00AA6F3E" w:rsidP="00AA6F3E">
      <w:pPr>
        <w:pStyle w:val="FootnoteText"/>
        <w:ind w:firstLine="425"/>
        <w:jc w:val="both"/>
        <w:rPr>
          <w:rFonts w:ascii="Times New Roman" w:hAnsi="Times New Roman" w:cs="Times New Roman"/>
          <w:i/>
        </w:rPr>
      </w:pPr>
      <w:r w:rsidRPr="00B30E2F">
        <w:rPr>
          <w:rStyle w:val="FootnoteReference"/>
          <w:rFonts w:ascii="Times New Roman" w:hAnsi="Times New Roman" w:cs="Times New Roman"/>
        </w:rPr>
        <w:footnoteRef/>
      </w:r>
      <w:r w:rsidRPr="00B30E2F">
        <w:rPr>
          <w:rFonts w:ascii="Times New Roman" w:hAnsi="Times New Roman" w:cs="Times New Roman"/>
        </w:rPr>
        <w:t xml:space="preserve">Rachmadi Usman, </w:t>
      </w:r>
      <w:r w:rsidRPr="00B30E2F">
        <w:rPr>
          <w:rFonts w:ascii="Times New Roman" w:hAnsi="Times New Roman" w:cs="Times New Roman"/>
          <w:i/>
        </w:rPr>
        <w:t xml:space="preserve">Hukum Lelang, </w:t>
      </w:r>
      <w:r w:rsidRPr="00B30E2F">
        <w:rPr>
          <w:rFonts w:ascii="Times New Roman" w:hAnsi="Times New Roman" w:cs="Times New Roman"/>
        </w:rPr>
        <w:t>Cetakan Pertama (Jakarta : Sinar Grafika, 2016), hlm 30</w:t>
      </w:r>
    </w:p>
  </w:footnote>
  <w:footnote w:id="39">
    <w:p w:rsidR="00AA6F3E" w:rsidRPr="00613AF7" w:rsidRDefault="00AA6F3E" w:rsidP="00AA6F3E">
      <w:pPr>
        <w:pStyle w:val="FootnoteText"/>
        <w:ind w:firstLine="425"/>
        <w:rPr>
          <w:rFonts w:ascii="Times New Roman" w:hAnsi="Times New Roman" w:cs="Times New Roman"/>
        </w:rPr>
      </w:pPr>
      <w:r w:rsidRPr="00613AF7">
        <w:rPr>
          <w:rStyle w:val="FootnoteReference"/>
          <w:rFonts w:ascii="Times New Roman" w:hAnsi="Times New Roman" w:cs="Times New Roman"/>
        </w:rPr>
        <w:footnoteRef/>
      </w:r>
      <w:r w:rsidRPr="00613AF7">
        <w:rPr>
          <w:rFonts w:ascii="Times New Roman" w:hAnsi="Times New Roman" w:cs="Times New Roman"/>
          <w:i/>
        </w:rPr>
        <w:t>Ibid</w:t>
      </w:r>
      <w:r w:rsidRPr="00613AF7">
        <w:rPr>
          <w:rFonts w:ascii="Times New Roman" w:hAnsi="Times New Roman" w:cs="Times New Roman"/>
        </w:rPr>
        <w:t>., hlm 66</w:t>
      </w:r>
    </w:p>
  </w:footnote>
  <w:footnote w:id="40">
    <w:p w:rsidR="00AA6F3E" w:rsidRPr="00613AF7" w:rsidRDefault="00AA6F3E" w:rsidP="00AA6F3E">
      <w:pPr>
        <w:pStyle w:val="FootnoteText"/>
        <w:ind w:firstLine="425"/>
        <w:rPr>
          <w:rFonts w:ascii="Times New Roman" w:hAnsi="Times New Roman" w:cs="Times New Roman"/>
        </w:rPr>
      </w:pPr>
      <w:r w:rsidRPr="00613AF7">
        <w:rPr>
          <w:rStyle w:val="FootnoteReference"/>
          <w:rFonts w:ascii="Times New Roman" w:hAnsi="Times New Roman" w:cs="Times New Roman"/>
        </w:rPr>
        <w:footnoteRef/>
      </w:r>
      <w:r w:rsidRPr="00613AF7">
        <w:rPr>
          <w:rFonts w:ascii="Times New Roman" w:hAnsi="Times New Roman" w:cs="Times New Roman"/>
          <w:i/>
        </w:rPr>
        <w:t>Ibid</w:t>
      </w:r>
      <w:r w:rsidRPr="00613AF7">
        <w:rPr>
          <w:rFonts w:ascii="Times New Roman" w:hAnsi="Times New Roman" w:cs="Times New Roman"/>
        </w:rPr>
        <w:t xml:space="preserve">., hlm </w:t>
      </w:r>
      <w:r>
        <w:rPr>
          <w:rFonts w:ascii="Times New Roman" w:hAnsi="Times New Roman" w:cs="Times New Roman"/>
        </w:rPr>
        <w:t>34</w:t>
      </w:r>
    </w:p>
    <w:p w:rsidR="00AA6F3E" w:rsidRDefault="00AA6F3E" w:rsidP="00AA6F3E">
      <w:pPr>
        <w:pStyle w:val="FootnoteText"/>
        <w:ind w:firstLine="425"/>
      </w:pPr>
    </w:p>
  </w:footnote>
  <w:footnote w:id="41">
    <w:p w:rsidR="00AA6F3E" w:rsidRPr="00613AF7" w:rsidRDefault="00AA6F3E" w:rsidP="00AA6F3E">
      <w:pPr>
        <w:pStyle w:val="FootnoteText"/>
        <w:ind w:firstLine="425"/>
        <w:rPr>
          <w:rFonts w:ascii="Times New Roman" w:hAnsi="Times New Roman" w:cs="Times New Roman"/>
        </w:rPr>
      </w:pPr>
      <w:r>
        <w:rPr>
          <w:rStyle w:val="FootnoteReference"/>
        </w:rPr>
        <w:footnoteRef/>
      </w:r>
      <w:r w:rsidRPr="00613AF7">
        <w:rPr>
          <w:rFonts w:ascii="Times New Roman" w:hAnsi="Times New Roman" w:cs="Times New Roman"/>
          <w:i/>
        </w:rPr>
        <w:t>Ibid</w:t>
      </w:r>
      <w:r w:rsidRPr="00613AF7">
        <w:rPr>
          <w:rFonts w:ascii="Times New Roman" w:hAnsi="Times New Roman" w:cs="Times New Roman"/>
        </w:rPr>
        <w:t xml:space="preserve">., hlm </w:t>
      </w:r>
      <w:r>
        <w:rPr>
          <w:rFonts w:ascii="Times New Roman" w:hAnsi="Times New Roman" w:cs="Times New Roman"/>
        </w:rPr>
        <w:t>36</w:t>
      </w:r>
    </w:p>
    <w:p w:rsidR="00AA6F3E" w:rsidRDefault="00AA6F3E" w:rsidP="00AA6F3E">
      <w:pPr>
        <w:pStyle w:val="FootnoteText"/>
      </w:pPr>
    </w:p>
  </w:footnote>
  <w:footnote w:id="42">
    <w:p w:rsidR="00AA6F3E" w:rsidRPr="00034077" w:rsidRDefault="00AA6F3E" w:rsidP="00AA6F3E">
      <w:pPr>
        <w:pStyle w:val="FootnoteText"/>
        <w:ind w:firstLine="426"/>
        <w:jc w:val="both"/>
        <w:rPr>
          <w:rFonts w:ascii="Times New Roman" w:hAnsi="Times New Roman" w:cs="Times New Roman"/>
        </w:rPr>
      </w:pPr>
      <w:r w:rsidRPr="00034077">
        <w:rPr>
          <w:rStyle w:val="FootnoteReference"/>
          <w:rFonts w:ascii="Times New Roman" w:hAnsi="Times New Roman" w:cs="Times New Roman"/>
        </w:rPr>
        <w:footnoteRef/>
      </w:r>
      <w:r w:rsidRPr="00034077">
        <w:rPr>
          <w:rFonts w:ascii="Times New Roman" w:hAnsi="Times New Roman" w:cs="Times New Roman"/>
        </w:rPr>
        <w:t>Satrio</w:t>
      </w:r>
      <w:r>
        <w:rPr>
          <w:rFonts w:ascii="Times New Roman" w:hAnsi="Times New Roman" w:cs="Times New Roman"/>
        </w:rPr>
        <w:t>. J</w:t>
      </w:r>
      <w:r w:rsidRPr="00034077">
        <w:rPr>
          <w:rFonts w:ascii="Times New Roman" w:hAnsi="Times New Roman" w:cs="Times New Roman"/>
        </w:rPr>
        <w:t xml:space="preserve">, </w:t>
      </w:r>
      <w:r w:rsidRPr="00034077">
        <w:rPr>
          <w:rFonts w:ascii="Times New Roman" w:hAnsi="Times New Roman" w:cs="Times New Roman"/>
          <w:i/>
        </w:rPr>
        <w:t>Hukum Perikatan – Perikatan Yang Lahir dari Perjanjian Buku II</w:t>
      </w:r>
      <w:r w:rsidRPr="00034077">
        <w:rPr>
          <w:rFonts w:ascii="Times New Roman" w:hAnsi="Times New Roman" w:cs="Times New Roman"/>
        </w:rPr>
        <w:t xml:space="preserve">, Cetakan Pertama ( Bandung : </w:t>
      </w:r>
      <w:r>
        <w:rPr>
          <w:rFonts w:ascii="Times New Roman" w:hAnsi="Times New Roman" w:cs="Times New Roman"/>
        </w:rPr>
        <w:t>C</w:t>
      </w:r>
      <w:r w:rsidRPr="00034077">
        <w:rPr>
          <w:rFonts w:ascii="Times New Roman" w:hAnsi="Times New Roman" w:cs="Times New Roman"/>
        </w:rPr>
        <w:t xml:space="preserve">itra Aditya Bakti, 1995), hlm 142 </w:t>
      </w:r>
    </w:p>
  </w:footnote>
  <w:footnote w:id="43">
    <w:p w:rsidR="00AA6F3E" w:rsidRPr="00B23EF0" w:rsidRDefault="00AA6F3E" w:rsidP="00AA6F3E">
      <w:pPr>
        <w:pStyle w:val="FootnoteText"/>
        <w:ind w:firstLine="426"/>
        <w:jc w:val="both"/>
        <w:rPr>
          <w:rFonts w:ascii="Times New Roman" w:hAnsi="Times New Roman" w:cs="Times New Roman"/>
        </w:rPr>
      </w:pPr>
      <w:r w:rsidRPr="00B23EF0">
        <w:rPr>
          <w:rStyle w:val="FootnoteReference"/>
          <w:rFonts w:ascii="Times New Roman" w:hAnsi="Times New Roman" w:cs="Times New Roman"/>
        </w:rPr>
        <w:footnoteRef/>
      </w:r>
      <w:r w:rsidRPr="00B23EF0">
        <w:rPr>
          <w:rFonts w:ascii="Times New Roman" w:hAnsi="Times New Roman" w:cs="Times New Roman"/>
        </w:rPr>
        <w:t xml:space="preserve">Subekti dikutip </w:t>
      </w:r>
      <w:r>
        <w:rPr>
          <w:rFonts w:ascii="Times New Roman" w:hAnsi="Times New Roman" w:cs="Times New Roman"/>
        </w:rPr>
        <w:t xml:space="preserve">dari </w:t>
      </w:r>
      <w:r w:rsidRPr="00B23EF0">
        <w:rPr>
          <w:rFonts w:ascii="Times New Roman" w:hAnsi="Times New Roman" w:cs="Times New Roman"/>
        </w:rPr>
        <w:t xml:space="preserve">I Ketut Oka Setiawan, </w:t>
      </w:r>
      <w:r w:rsidRPr="00B23EF0">
        <w:rPr>
          <w:rFonts w:ascii="Times New Roman" w:hAnsi="Times New Roman" w:cs="Times New Roman"/>
          <w:i/>
        </w:rPr>
        <w:t>Hukum Perikatan</w:t>
      </w:r>
      <w:r w:rsidRPr="00B23EF0">
        <w:rPr>
          <w:rFonts w:ascii="Times New Roman" w:hAnsi="Times New Roman" w:cs="Times New Roman"/>
        </w:rPr>
        <w:t xml:space="preserve">, Cetakan Pertama (Jakarta : Sinar </w:t>
      </w:r>
      <w:r>
        <w:rPr>
          <w:rFonts w:ascii="Times New Roman" w:hAnsi="Times New Roman" w:cs="Times New Roman"/>
        </w:rPr>
        <w:t>G</w:t>
      </w:r>
      <w:r w:rsidRPr="00B23EF0">
        <w:rPr>
          <w:rFonts w:ascii="Times New Roman" w:hAnsi="Times New Roman" w:cs="Times New Roman"/>
        </w:rPr>
        <w:t>rafika, 2016), hlm 73-74</w:t>
      </w:r>
    </w:p>
  </w:footnote>
  <w:footnote w:id="44">
    <w:p w:rsidR="00AA6F3E" w:rsidRPr="00294993" w:rsidRDefault="00AA6F3E" w:rsidP="00AA6F3E">
      <w:pPr>
        <w:pStyle w:val="FootnoteText"/>
        <w:ind w:firstLine="425"/>
        <w:jc w:val="both"/>
        <w:rPr>
          <w:rFonts w:ascii="Times New Roman" w:hAnsi="Times New Roman" w:cs="Times New Roman"/>
        </w:rPr>
      </w:pPr>
      <w:r w:rsidRPr="00294993">
        <w:rPr>
          <w:rStyle w:val="FootnoteReference"/>
          <w:rFonts w:ascii="Times New Roman" w:hAnsi="Times New Roman" w:cs="Times New Roman"/>
        </w:rPr>
        <w:footnoteRef/>
      </w:r>
      <w:r w:rsidRPr="00294993">
        <w:rPr>
          <w:rFonts w:ascii="Times New Roman" w:hAnsi="Times New Roman" w:cs="Times New Roman"/>
        </w:rPr>
        <w:t xml:space="preserve">Herowati Poesoko, </w:t>
      </w:r>
      <w:r>
        <w:rPr>
          <w:rFonts w:ascii="Times New Roman" w:hAnsi="Times New Roman" w:cs="Times New Roman"/>
          <w:i/>
        </w:rPr>
        <w:t>Op.cit.</w:t>
      </w:r>
      <w:r w:rsidRPr="00294993">
        <w:rPr>
          <w:rFonts w:ascii="Times New Roman" w:hAnsi="Times New Roman" w:cs="Times New Roman"/>
        </w:rPr>
        <w:t xml:space="preserve">, </w:t>
      </w:r>
      <w:r>
        <w:rPr>
          <w:rFonts w:ascii="Times New Roman" w:hAnsi="Times New Roman" w:cs="Times New Roman"/>
        </w:rPr>
        <w:t xml:space="preserve">hlm </w:t>
      </w:r>
      <w:r w:rsidRPr="00294993">
        <w:rPr>
          <w:rFonts w:ascii="Times New Roman" w:hAnsi="Times New Roman" w:cs="Times New Roman"/>
        </w:rPr>
        <w:t xml:space="preserve">122 </w:t>
      </w:r>
    </w:p>
  </w:footnote>
  <w:footnote w:id="45">
    <w:p w:rsidR="00AA6F3E" w:rsidRPr="00B23EF0" w:rsidRDefault="00AA6F3E" w:rsidP="00AA6F3E">
      <w:pPr>
        <w:pStyle w:val="FootnoteText"/>
        <w:ind w:firstLine="426"/>
        <w:jc w:val="both"/>
        <w:rPr>
          <w:rFonts w:ascii="Times New Roman" w:hAnsi="Times New Roman" w:cs="Times New Roman"/>
        </w:rPr>
      </w:pPr>
      <w:r>
        <w:rPr>
          <w:rStyle w:val="FootnoteReference"/>
        </w:rPr>
        <w:footnoteRef/>
      </w:r>
      <w:r w:rsidRPr="00B23EF0">
        <w:rPr>
          <w:rFonts w:ascii="Times New Roman" w:hAnsi="Times New Roman" w:cs="Times New Roman"/>
        </w:rPr>
        <w:t xml:space="preserve">Subekti dikutip </w:t>
      </w:r>
      <w:r>
        <w:rPr>
          <w:rFonts w:ascii="Times New Roman" w:hAnsi="Times New Roman" w:cs="Times New Roman"/>
        </w:rPr>
        <w:t xml:space="preserve">dari </w:t>
      </w:r>
      <w:r w:rsidRPr="00B23EF0">
        <w:rPr>
          <w:rFonts w:ascii="Times New Roman" w:hAnsi="Times New Roman" w:cs="Times New Roman"/>
        </w:rPr>
        <w:t xml:space="preserve">I Ketut Oka Setiawan, </w:t>
      </w:r>
      <w:r>
        <w:rPr>
          <w:rFonts w:ascii="Times New Roman" w:hAnsi="Times New Roman" w:cs="Times New Roman"/>
          <w:i/>
        </w:rPr>
        <w:t>Op.cit.,</w:t>
      </w:r>
      <w:r w:rsidRPr="00B23EF0">
        <w:rPr>
          <w:rFonts w:ascii="Times New Roman" w:hAnsi="Times New Roman" w:cs="Times New Roman"/>
        </w:rPr>
        <w:t xml:space="preserve"> hlm </w:t>
      </w:r>
      <w:r>
        <w:rPr>
          <w:rFonts w:ascii="Times New Roman" w:hAnsi="Times New Roman" w:cs="Times New Roman"/>
        </w:rPr>
        <w:t>19</w:t>
      </w:r>
    </w:p>
    <w:p w:rsidR="00AA6F3E" w:rsidRDefault="00AA6F3E" w:rsidP="00AA6F3E">
      <w:pPr>
        <w:pStyle w:val="FootnoteText"/>
      </w:pPr>
    </w:p>
  </w:footnote>
  <w:footnote w:id="46">
    <w:p w:rsidR="00AA6F3E" w:rsidRDefault="00AA6F3E" w:rsidP="00AA6F3E">
      <w:pPr>
        <w:pStyle w:val="FootnoteText"/>
        <w:ind w:firstLine="426"/>
      </w:pPr>
      <w:r>
        <w:rPr>
          <w:rStyle w:val="FootnoteReference"/>
        </w:rPr>
        <w:footnoteRef/>
      </w:r>
      <w:r w:rsidRPr="00291D79">
        <w:rPr>
          <w:rFonts w:ascii="Times New Roman" w:hAnsi="Times New Roman" w:cs="Times New Roman"/>
        </w:rPr>
        <w:t>I Ketut Oka Setiawan,</w:t>
      </w:r>
      <w:r>
        <w:rPr>
          <w:rFonts w:ascii="Times New Roman" w:hAnsi="Times New Roman" w:cs="Times New Roman"/>
        </w:rPr>
        <w:t xml:space="preserve"> </w:t>
      </w:r>
      <w:r w:rsidRPr="00934395">
        <w:rPr>
          <w:rFonts w:ascii="Times New Roman" w:hAnsi="Times New Roman" w:cs="Times New Roman"/>
          <w:i/>
        </w:rPr>
        <w:t>Op.cit</w:t>
      </w:r>
      <w:r>
        <w:rPr>
          <w:rFonts w:ascii="Times New Roman" w:hAnsi="Times New Roman" w:cs="Times New Roman"/>
        </w:rPr>
        <w:t>.,</w:t>
      </w:r>
      <w:r w:rsidRPr="00291D79">
        <w:rPr>
          <w:rFonts w:ascii="Times New Roman" w:hAnsi="Times New Roman" w:cs="Times New Roman"/>
        </w:rPr>
        <w:t xml:space="preserve"> hlm 19</w:t>
      </w:r>
    </w:p>
  </w:footnote>
  <w:footnote w:id="47">
    <w:p w:rsidR="00AA6F3E" w:rsidRPr="004304F9" w:rsidRDefault="00AA6F3E" w:rsidP="00AA6F3E">
      <w:pPr>
        <w:pStyle w:val="FootnoteText"/>
        <w:ind w:firstLine="426"/>
        <w:jc w:val="both"/>
        <w:rPr>
          <w:rFonts w:ascii="Times New Roman" w:hAnsi="Times New Roman" w:cs="Times New Roman"/>
        </w:rPr>
      </w:pPr>
      <w:r w:rsidRPr="004304F9">
        <w:rPr>
          <w:rStyle w:val="FootnoteReference"/>
          <w:rFonts w:ascii="Times New Roman" w:hAnsi="Times New Roman" w:cs="Times New Roman"/>
        </w:rPr>
        <w:footnoteRef/>
      </w:r>
      <w:r w:rsidRPr="004304F9">
        <w:rPr>
          <w:rFonts w:ascii="Times New Roman" w:hAnsi="Times New Roman" w:cs="Times New Roman"/>
        </w:rPr>
        <w:t>Syarat konkuren hanya ada pada perjanjian timbal balik, di mana kewajiban dari salah satu pihak untuk melaksanakan prestasi baru terbit jika telah terdapat cukup bukti yang menunjukkan  bahwa pada waktu yang dijanjikan pihak lainnya telah menunjukkan (</w:t>
      </w:r>
      <w:r w:rsidRPr="00E12AD7">
        <w:rPr>
          <w:rFonts w:ascii="Times New Roman" w:hAnsi="Times New Roman" w:cs="Times New Roman"/>
          <w:i/>
        </w:rPr>
        <w:t>itikad atau kehendak</w:t>
      </w:r>
      <w:r w:rsidRPr="004304F9">
        <w:rPr>
          <w:rFonts w:ascii="Times New Roman" w:hAnsi="Times New Roman" w:cs="Times New Roman"/>
        </w:rPr>
        <w:t xml:space="preserve">) untuk melaksanakan prestasinya. Di mana pelaksanaan prestasi oleh pihak-pihak dalam perjanjian ini harus dilakukan secara bersamaan  antara satu dengan yang lainnya. Gunawan Widjaja &amp; Ahmad Yani, </w:t>
      </w:r>
      <w:r w:rsidRPr="004304F9">
        <w:rPr>
          <w:rFonts w:ascii="Times New Roman" w:hAnsi="Times New Roman" w:cs="Times New Roman"/>
          <w:i/>
        </w:rPr>
        <w:t>Jaminan Fiducia</w:t>
      </w:r>
      <w:r>
        <w:rPr>
          <w:rFonts w:ascii="Times New Roman" w:hAnsi="Times New Roman" w:cs="Times New Roman"/>
        </w:rPr>
        <w:t>, Cetakan Pertama, (</w:t>
      </w:r>
      <w:r w:rsidRPr="004304F9">
        <w:rPr>
          <w:rFonts w:ascii="Times New Roman" w:hAnsi="Times New Roman" w:cs="Times New Roman"/>
        </w:rPr>
        <w:t>Jakarta : Raja Grafindo Persada, 2000), hlm 32 - 33</w:t>
      </w:r>
    </w:p>
  </w:footnote>
  <w:footnote w:id="48">
    <w:p w:rsidR="00AA6F3E" w:rsidRDefault="00AA6F3E" w:rsidP="00AA6F3E">
      <w:pPr>
        <w:pStyle w:val="FootnoteText"/>
        <w:ind w:firstLine="426"/>
        <w:jc w:val="both"/>
      </w:pPr>
      <w:r>
        <w:rPr>
          <w:rStyle w:val="FootnoteReference"/>
        </w:rPr>
        <w:footnoteRef/>
      </w:r>
      <w:r w:rsidRPr="00EA02F2">
        <w:rPr>
          <w:rFonts w:ascii="Times New Roman" w:hAnsi="Times New Roman" w:cs="Times New Roman"/>
          <w:i/>
        </w:rPr>
        <w:t>Ibid</w:t>
      </w:r>
      <w:r>
        <w:rPr>
          <w:rFonts w:ascii="Times New Roman" w:hAnsi="Times New Roman" w:cs="Times New Roman"/>
        </w:rPr>
        <w:t>., hlm 32 - 33</w:t>
      </w:r>
    </w:p>
  </w:footnote>
  <w:footnote w:id="49">
    <w:p w:rsidR="00AA6F3E" w:rsidRDefault="00AA6F3E" w:rsidP="00AA6F3E">
      <w:pPr>
        <w:pStyle w:val="FootnoteText"/>
        <w:ind w:firstLine="425"/>
        <w:jc w:val="both"/>
        <w:rPr>
          <w:rFonts w:ascii="Times New Roman" w:hAnsi="Times New Roman" w:cs="Times New Roman"/>
        </w:rPr>
      </w:pPr>
      <w:r w:rsidRPr="008F5D01">
        <w:rPr>
          <w:rStyle w:val="FootnoteReference"/>
          <w:rFonts w:ascii="Times New Roman" w:hAnsi="Times New Roman" w:cs="Times New Roman"/>
        </w:rPr>
        <w:footnoteRef/>
      </w:r>
      <w:r w:rsidRPr="008F5D01">
        <w:rPr>
          <w:rFonts w:ascii="Times New Roman" w:hAnsi="Times New Roman" w:cs="Times New Roman"/>
        </w:rPr>
        <w:t>Subekti</w:t>
      </w:r>
      <w:r>
        <w:rPr>
          <w:rFonts w:ascii="Times New Roman" w:hAnsi="Times New Roman" w:cs="Times New Roman"/>
        </w:rPr>
        <w:t xml:space="preserve">, </w:t>
      </w:r>
      <w:r w:rsidRPr="00FA7DD6">
        <w:rPr>
          <w:rFonts w:ascii="Times New Roman" w:hAnsi="Times New Roman" w:cs="Times New Roman"/>
          <w:i/>
        </w:rPr>
        <w:t>Aneka Perjanjian</w:t>
      </w:r>
      <w:r>
        <w:rPr>
          <w:rFonts w:ascii="Times New Roman" w:hAnsi="Times New Roman" w:cs="Times New Roman"/>
        </w:rPr>
        <w:t xml:space="preserve">, </w:t>
      </w:r>
      <w:r w:rsidRPr="008F5D01">
        <w:rPr>
          <w:rFonts w:ascii="Times New Roman" w:hAnsi="Times New Roman" w:cs="Times New Roman"/>
        </w:rPr>
        <w:t xml:space="preserve">dikutip </w:t>
      </w:r>
      <w:r>
        <w:rPr>
          <w:rFonts w:ascii="Times New Roman" w:hAnsi="Times New Roman" w:cs="Times New Roman"/>
        </w:rPr>
        <w:t xml:space="preserve">dari </w:t>
      </w:r>
      <w:r w:rsidRPr="008F5D01">
        <w:rPr>
          <w:rFonts w:ascii="Times New Roman" w:hAnsi="Times New Roman" w:cs="Times New Roman"/>
        </w:rPr>
        <w:t>Gunawan Widjaja &amp; Ahmad Yani</w:t>
      </w:r>
      <w:r>
        <w:rPr>
          <w:rFonts w:ascii="Times New Roman" w:hAnsi="Times New Roman" w:cs="Times New Roman"/>
        </w:rPr>
        <w:t xml:space="preserve">, </w:t>
      </w:r>
      <w:r w:rsidRPr="00EA02F2">
        <w:rPr>
          <w:rFonts w:ascii="Times New Roman" w:hAnsi="Times New Roman" w:cs="Times New Roman"/>
          <w:i/>
        </w:rPr>
        <w:t>Ibid</w:t>
      </w:r>
      <w:r>
        <w:rPr>
          <w:rFonts w:ascii="Times New Roman" w:hAnsi="Times New Roman" w:cs="Times New Roman"/>
        </w:rPr>
        <w:t>, hlm</w:t>
      </w:r>
      <w:r w:rsidRPr="008F5D01">
        <w:rPr>
          <w:rFonts w:ascii="Times New Roman" w:hAnsi="Times New Roman" w:cs="Times New Roman"/>
        </w:rPr>
        <w:t xml:space="preserve"> 33</w:t>
      </w:r>
    </w:p>
    <w:p w:rsidR="00AA6F3E" w:rsidRPr="008F5D01" w:rsidRDefault="00AA6F3E" w:rsidP="00AA6F3E">
      <w:pPr>
        <w:pStyle w:val="FootnoteText"/>
        <w:ind w:left="709" w:firstLine="425"/>
        <w:jc w:val="both"/>
        <w:rPr>
          <w:rFonts w:ascii="Times New Roman" w:hAnsi="Times New Roman" w:cs="Times New Roman"/>
        </w:rPr>
      </w:pPr>
    </w:p>
  </w:footnote>
  <w:footnote w:id="50">
    <w:p w:rsidR="00AA6F3E" w:rsidRPr="00FA6B4D" w:rsidRDefault="00AA6F3E" w:rsidP="00AA6F3E">
      <w:pPr>
        <w:pStyle w:val="FootnoteText"/>
        <w:ind w:firstLine="426"/>
        <w:jc w:val="both"/>
        <w:rPr>
          <w:rFonts w:ascii="Times New Roman" w:hAnsi="Times New Roman" w:cs="Times New Roman"/>
        </w:rPr>
      </w:pPr>
      <w:r w:rsidRPr="00FA6B4D">
        <w:rPr>
          <w:rStyle w:val="FootnoteReference"/>
          <w:rFonts w:ascii="Times New Roman" w:hAnsi="Times New Roman" w:cs="Times New Roman"/>
        </w:rPr>
        <w:footnoteRef/>
      </w:r>
      <w:r w:rsidRPr="00FA6B4D">
        <w:rPr>
          <w:rFonts w:ascii="Times New Roman" w:hAnsi="Times New Roman" w:cs="Times New Roman"/>
        </w:rPr>
        <w:t xml:space="preserve">Gatot Supramono, </w:t>
      </w:r>
      <w:r>
        <w:rPr>
          <w:rFonts w:ascii="Times New Roman" w:hAnsi="Times New Roman" w:cs="Times New Roman"/>
          <w:i/>
        </w:rPr>
        <w:t>Op.cit.</w:t>
      </w:r>
      <w:r w:rsidRPr="00FA6B4D">
        <w:rPr>
          <w:rFonts w:ascii="Times New Roman" w:hAnsi="Times New Roman" w:cs="Times New Roman"/>
        </w:rPr>
        <w:t xml:space="preserve">, hlm 131-132 </w:t>
      </w:r>
    </w:p>
  </w:footnote>
  <w:footnote w:id="51">
    <w:p w:rsidR="00AA6F3E" w:rsidRPr="00615974" w:rsidRDefault="00AA6F3E" w:rsidP="00AA6F3E">
      <w:pPr>
        <w:pStyle w:val="FootnoteText"/>
        <w:ind w:firstLine="426"/>
        <w:rPr>
          <w:rFonts w:ascii="Times New Roman" w:hAnsi="Times New Roman" w:cs="Times New Roman"/>
        </w:rPr>
      </w:pPr>
      <w:r>
        <w:rPr>
          <w:rStyle w:val="FootnoteReference"/>
        </w:rPr>
        <w:footnoteRef/>
      </w:r>
      <w:r w:rsidRPr="00615974">
        <w:rPr>
          <w:rFonts w:ascii="Times New Roman" w:hAnsi="Times New Roman" w:cs="Times New Roman"/>
          <w:i/>
        </w:rPr>
        <w:t>Ibid</w:t>
      </w:r>
      <w:r w:rsidRPr="00615974">
        <w:rPr>
          <w:rFonts w:ascii="Times New Roman" w:hAnsi="Times New Roman" w:cs="Times New Roman"/>
        </w:rPr>
        <w:t>., hlm 136</w:t>
      </w:r>
    </w:p>
  </w:footnote>
  <w:footnote w:id="52">
    <w:p w:rsidR="00AA6F3E" w:rsidRPr="00162BED" w:rsidRDefault="00AA6F3E" w:rsidP="00AA6F3E">
      <w:pPr>
        <w:pStyle w:val="FootnoteText"/>
        <w:ind w:firstLine="426"/>
        <w:jc w:val="both"/>
        <w:rPr>
          <w:rFonts w:ascii="Times New Roman" w:hAnsi="Times New Roman" w:cs="Times New Roman"/>
        </w:rPr>
      </w:pPr>
      <w:r w:rsidRPr="00162BED">
        <w:rPr>
          <w:rStyle w:val="FootnoteReference"/>
          <w:rFonts w:ascii="Times New Roman" w:hAnsi="Times New Roman" w:cs="Times New Roman"/>
        </w:rPr>
        <w:footnoteRef/>
      </w:r>
      <w:r w:rsidRPr="00162BED">
        <w:rPr>
          <w:rFonts w:ascii="Times New Roman" w:hAnsi="Times New Roman" w:cs="Times New Roman"/>
        </w:rPr>
        <w:t xml:space="preserve">Kasmir, </w:t>
      </w:r>
      <w:r w:rsidRPr="00162BED">
        <w:rPr>
          <w:rFonts w:ascii="Times New Roman" w:hAnsi="Times New Roman" w:cs="Times New Roman"/>
          <w:i/>
        </w:rPr>
        <w:t>Dasar-Dasar Perbankan,</w:t>
      </w:r>
      <w:r w:rsidRPr="00162BED">
        <w:rPr>
          <w:rFonts w:ascii="Times New Roman" w:hAnsi="Times New Roman" w:cs="Times New Roman"/>
        </w:rPr>
        <w:t xml:space="preserve"> Cetakan Keduabelas ( Jakarta : RajaGrafindo Persada, 2014), hlm 148</w:t>
      </w:r>
    </w:p>
  </w:footnote>
  <w:footnote w:id="53">
    <w:p w:rsidR="00AA6F3E" w:rsidRPr="000B0313" w:rsidRDefault="00AA6F3E" w:rsidP="00AA6F3E">
      <w:pPr>
        <w:pStyle w:val="FootnoteText"/>
        <w:ind w:firstLine="426"/>
        <w:rPr>
          <w:rFonts w:ascii="Times New Roman" w:hAnsi="Times New Roman" w:cs="Times New Roman"/>
        </w:rPr>
      </w:pPr>
      <w:r w:rsidRPr="000B0313">
        <w:rPr>
          <w:rStyle w:val="FootnoteReference"/>
          <w:rFonts w:ascii="Times New Roman" w:hAnsi="Times New Roman" w:cs="Times New Roman"/>
        </w:rPr>
        <w:footnoteRef/>
      </w:r>
      <w:r w:rsidRPr="000B0313">
        <w:rPr>
          <w:rFonts w:ascii="Times New Roman" w:hAnsi="Times New Roman" w:cs="Times New Roman"/>
          <w:i/>
        </w:rPr>
        <w:t>Ibid</w:t>
      </w:r>
      <w:r w:rsidRPr="000B0313">
        <w:rPr>
          <w:rFonts w:ascii="Times New Roman" w:hAnsi="Times New Roman" w:cs="Times New Roman"/>
        </w:rPr>
        <w:t>., hlm 148</w:t>
      </w:r>
    </w:p>
  </w:footnote>
  <w:footnote w:id="54">
    <w:p w:rsidR="00AA6F3E" w:rsidRPr="00870055" w:rsidRDefault="00AA6F3E" w:rsidP="00AA6F3E">
      <w:pPr>
        <w:pStyle w:val="FootnoteText"/>
        <w:ind w:firstLine="426"/>
        <w:rPr>
          <w:rFonts w:ascii="Times New Roman" w:hAnsi="Times New Roman" w:cs="Times New Roman"/>
        </w:rPr>
      </w:pPr>
      <w:r w:rsidRPr="00870055">
        <w:rPr>
          <w:rStyle w:val="FootnoteReference"/>
          <w:rFonts w:ascii="Times New Roman" w:hAnsi="Times New Roman" w:cs="Times New Roman"/>
        </w:rPr>
        <w:footnoteRef/>
      </w:r>
      <w:r w:rsidRPr="00870055">
        <w:rPr>
          <w:rFonts w:ascii="Times New Roman" w:hAnsi="Times New Roman" w:cs="Times New Roman"/>
          <w:i/>
        </w:rPr>
        <w:t>Ibid</w:t>
      </w:r>
      <w:r>
        <w:rPr>
          <w:rFonts w:ascii="Times New Roman" w:hAnsi="Times New Roman" w:cs="Times New Roman"/>
        </w:rPr>
        <w:t>., hlm 149-</w:t>
      </w:r>
      <w:r w:rsidRPr="00870055">
        <w:rPr>
          <w:rFonts w:ascii="Times New Roman" w:hAnsi="Times New Roman" w:cs="Times New Roman"/>
        </w:rPr>
        <w:t xml:space="preserve">151 </w:t>
      </w:r>
    </w:p>
  </w:footnote>
  <w:footnote w:id="55">
    <w:p w:rsidR="00AA6F3E" w:rsidRPr="00870055" w:rsidRDefault="00AA6F3E" w:rsidP="00AA6F3E">
      <w:pPr>
        <w:pStyle w:val="FootnoteText"/>
        <w:ind w:firstLine="426"/>
        <w:jc w:val="both"/>
        <w:rPr>
          <w:rFonts w:ascii="Times New Roman" w:hAnsi="Times New Roman" w:cs="Times New Roman"/>
        </w:rPr>
      </w:pPr>
      <w:r w:rsidRPr="00870055">
        <w:rPr>
          <w:rStyle w:val="FootnoteReference"/>
          <w:rFonts w:ascii="Times New Roman" w:hAnsi="Times New Roman" w:cs="Times New Roman"/>
        </w:rPr>
        <w:footnoteRef/>
      </w:r>
      <w:r w:rsidRPr="00870055">
        <w:rPr>
          <w:rFonts w:ascii="Times New Roman" w:hAnsi="Times New Roman" w:cs="Times New Roman"/>
        </w:rPr>
        <w:t xml:space="preserve">Zainal Asikin, </w:t>
      </w:r>
      <w:r w:rsidRPr="008C07F9">
        <w:rPr>
          <w:rFonts w:ascii="Times New Roman" w:hAnsi="Times New Roman" w:cs="Times New Roman"/>
          <w:i/>
        </w:rPr>
        <w:t>Op.cit</w:t>
      </w:r>
      <w:r>
        <w:rPr>
          <w:rFonts w:ascii="Times New Roman" w:hAnsi="Times New Roman" w:cs="Times New Roman"/>
          <w:i/>
        </w:rPr>
        <w:t>.</w:t>
      </w:r>
      <w:r w:rsidRPr="00870055">
        <w:rPr>
          <w:rFonts w:ascii="Times New Roman" w:hAnsi="Times New Roman" w:cs="Times New Roman"/>
        </w:rPr>
        <w:t>, hlm 202</w:t>
      </w:r>
    </w:p>
  </w:footnote>
  <w:footnote w:id="56">
    <w:p w:rsidR="00AA6F3E" w:rsidRPr="00FE0E5D" w:rsidRDefault="00AA6F3E" w:rsidP="00AA6F3E">
      <w:pPr>
        <w:pStyle w:val="FootnoteText"/>
        <w:ind w:firstLine="426"/>
        <w:rPr>
          <w:rFonts w:ascii="Times New Roman" w:hAnsi="Times New Roman" w:cs="Times New Roman"/>
        </w:rPr>
      </w:pPr>
      <w:r w:rsidRPr="00FE0E5D">
        <w:rPr>
          <w:rStyle w:val="FootnoteReference"/>
          <w:rFonts w:ascii="Times New Roman" w:hAnsi="Times New Roman" w:cs="Times New Roman"/>
        </w:rPr>
        <w:footnoteRef/>
      </w:r>
      <w:r w:rsidRPr="00FE0E5D">
        <w:rPr>
          <w:rFonts w:ascii="Times New Roman" w:hAnsi="Times New Roman" w:cs="Times New Roman"/>
        </w:rPr>
        <w:t>Zainal Asikin,</w:t>
      </w:r>
      <w:r>
        <w:rPr>
          <w:rFonts w:ascii="Times New Roman" w:hAnsi="Times New Roman" w:cs="Times New Roman"/>
        </w:rPr>
        <w:t xml:space="preserve"> </w:t>
      </w:r>
      <w:r w:rsidRPr="008C07F9">
        <w:rPr>
          <w:rFonts w:ascii="Times New Roman" w:hAnsi="Times New Roman" w:cs="Times New Roman"/>
          <w:i/>
        </w:rPr>
        <w:t>Op.cit</w:t>
      </w:r>
      <w:r>
        <w:rPr>
          <w:rFonts w:ascii="Times New Roman" w:hAnsi="Times New Roman" w:cs="Times New Roman"/>
        </w:rPr>
        <w:t>.,</w:t>
      </w:r>
      <w:r w:rsidRPr="00FE0E5D">
        <w:rPr>
          <w:rFonts w:ascii="Times New Roman" w:hAnsi="Times New Roman" w:cs="Times New Roman"/>
        </w:rPr>
        <w:t xml:space="preserve"> hlm 204</w:t>
      </w:r>
    </w:p>
  </w:footnote>
  <w:footnote w:id="57">
    <w:p w:rsidR="00AA6F3E" w:rsidRPr="00FE0E5D" w:rsidRDefault="00AA6F3E" w:rsidP="00AA6F3E">
      <w:pPr>
        <w:pStyle w:val="FootnoteText"/>
        <w:ind w:firstLine="426"/>
        <w:rPr>
          <w:rFonts w:ascii="Times New Roman" w:hAnsi="Times New Roman" w:cs="Times New Roman"/>
        </w:rPr>
      </w:pPr>
      <w:r>
        <w:rPr>
          <w:rStyle w:val="FootnoteReference"/>
        </w:rPr>
        <w:footnoteRef/>
      </w:r>
      <w:r w:rsidRPr="00FE0E5D">
        <w:rPr>
          <w:rFonts w:ascii="Times New Roman" w:hAnsi="Times New Roman" w:cs="Times New Roman"/>
        </w:rPr>
        <w:t>Zainal Asikin,</w:t>
      </w:r>
      <w:r>
        <w:rPr>
          <w:rFonts w:ascii="Times New Roman" w:hAnsi="Times New Roman" w:cs="Times New Roman"/>
        </w:rPr>
        <w:t xml:space="preserve"> </w:t>
      </w:r>
      <w:r w:rsidRPr="008C07F9">
        <w:rPr>
          <w:rFonts w:ascii="Times New Roman" w:hAnsi="Times New Roman" w:cs="Times New Roman"/>
          <w:i/>
        </w:rPr>
        <w:t>Op.cit</w:t>
      </w:r>
      <w:r>
        <w:rPr>
          <w:rFonts w:ascii="Times New Roman" w:hAnsi="Times New Roman" w:cs="Times New Roman"/>
        </w:rPr>
        <w:t>.,</w:t>
      </w:r>
      <w:r w:rsidRPr="00FE0E5D">
        <w:rPr>
          <w:rFonts w:ascii="Times New Roman" w:hAnsi="Times New Roman" w:cs="Times New Roman"/>
        </w:rPr>
        <w:t xml:space="preserve"> hlm 204</w:t>
      </w:r>
    </w:p>
    <w:p w:rsidR="00AA6F3E" w:rsidRDefault="00AA6F3E" w:rsidP="00AA6F3E">
      <w:pPr>
        <w:pStyle w:val="FootnoteText"/>
        <w:ind w:firstLine="426"/>
      </w:pPr>
    </w:p>
  </w:footnote>
  <w:footnote w:id="58">
    <w:p w:rsidR="00AA6F3E" w:rsidRPr="00096FA1" w:rsidRDefault="00AA6F3E" w:rsidP="00AA6F3E">
      <w:pPr>
        <w:pStyle w:val="FootnoteText"/>
        <w:ind w:firstLine="426"/>
        <w:rPr>
          <w:rFonts w:ascii="Times New Roman" w:hAnsi="Times New Roman" w:cs="Times New Roman"/>
        </w:rPr>
      </w:pPr>
      <w:r w:rsidRPr="00096FA1">
        <w:rPr>
          <w:rStyle w:val="FootnoteReference"/>
          <w:rFonts w:ascii="Times New Roman" w:hAnsi="Times New Roman" w:cs="Times New Roman"/>
        </w:rPr>
        <w:footnoteRef/>
      </w:r>
      <w:r w:rsidRPr="00096FA1">
        <w:rPr>
          <w:rFonts w:ascii="Times New Roman" w:hAnsi="Times New Roman" w:cs="Times New Roman"/>
        </w:rPr>
        <w:t xml:space="preserve"> </w:t>
      </w:r>
      <w:r w:rsidRPr="00096FA1">
        <w:rPr>
          <w:rFonts w:ascii="Times New Roman" w:hAnsi="Times New Roman" w:cs="Times New Roman"/>
        </w:rPr>
        <w:t xml:space="preserve">Dictio Community, </w:t>
      </w:r>
      <w:r w:rsidRPr="00096FA1">
        <w:rPr>
          <w:rFonts w:ascii="Times New Roman" w:hAnsi="Times New Roman" w:cs="Times New Roman"/>
          <w:i/>
        </w:rPr>
        <w:t>Apa yang dimaksud dengan wanprestasi dalam hukum perdata ?</w:t>
      </w:r>
      <w:r w:rsidRPr="00096FA1">
        <w:rPr>
          <w:rFonts w:ascii="Times New Roman" w:hAnsi="Times New Roman" w:cs="Times New Roman"/>
        </w:rPr>
        <w:t xml:space="preserve">, </w:t>
      </w:r>
      <w:hyperlink r:id="rId1" w:history="1">
        <w:r w:rsidRPr="008C07F9">
          <w:rPr>
            <w:rStyle w:val="Hyperlink"/>
            <w:rFonts w:ascii="Times New Roman" w:hAnsi="Times New Roman" w:cs="Times New Roman"/>
            <w:color w:val="auto"/>
            <w:u w:val="none"/>
          </w:rPr>
          <w:t>https://www.dictio.id/t/apa-yang-dimaksud-dengan-wanprestasi-dalam-hukum-perdata/13413</w:t>
        </w:r>
      </w:hyperlink>
      <w:r w:rsidRPr="00096FA1">
        <w:rPr>
          <w:rFonts w:ascii="Times New Roman" w:hAnsi="Times New Roman" w:cs="Times New Roman"/>
        </w:rPr>
        <w:t>, 1 oktober 2017</w:t>
      </w:r>
    </w:p>
  </w:footnote>
  <w:footnote w:id="59">
    <w:p w:rsidR="00AA6F3E" w:rsidRPr="00454FEB" w:rsidRDefault="00AA6F3E" w:rsidP="00AA6F3E">
      <w:pPr>
        <w:pStyle w:val="FootnoteText"/>
        <w:ind w:firstLine="425"/>
        <w:jc w:val="both"/>
        <w:rPr>
          <w:rFonts w:ascii="Times New Roman" w:hAnsi="Times New Roman" w:cs="Times New Roman"/>
        </w:rPr>
      </w:pPr>
      <w:r w:rsidRPr="00454FEB">
        <w:rPr>
          <w:rStyle w:val="FootnoteReference"/>
          <w:rFonts w:ascii="Times New Roman" w:hAnsi="Times New Roman" w:cs="Times New Roman"/>
        </w:rPr>
        <w:footnoteRef/>
      </w:r>
      <w:r w:rsidRPr="00454FEB">
        <w:rPr>
          <w:rFonts w:ascii="Times New Roman" w:hAnsi="Times New Roman" w:cs="Times New Roman"/>
        </w:rPr>
        <w:t>A.</w:t>
      </w:r>
      <w:r>
        <w:rPr>
          <w:rFonts w:ascii="Times New Roman" w:hAnsi="Times New Roman" w:cs="Times New Roman"/>
        </w:rPr>
        <w:t xml:space="preserve"> </w:t>
      </w:r>
      <w:r w:rsidRPr="00454FEB">
        <w:rPr>
          <w:rFonts w:ascii="Times New Roman" w:hAnsi="Times New Roman" w:cs="Times New Roman"/>
        </w:rPr>
        <w:t xml:space="preserve">Lakshminath dan M.Sridar, </w:t>
      </w:r>
      <w:r w:rsidRPr="00454FEB">
        <w:rPr>
          <w:rFonts w:ascii="Times New Roman" w:hAnsi="Times New Roman" w:cs="Times New Roman"/>
          <w:i/>
        </w:rPr>
        <w:t>Ramswamy Iyer’s The Law of Tort</w:t>
      </w:r>
      <w:r w:rsidRPr="00454FEB">
        <w:rPr>
          <w:rFonts w:ascii="Times New Roman" w:hAnsi="Times New Roman" w:cs="Times New Roman"/>
        </w:rPr>
        <w:t xml:space="preserve"> dikutip dari Suhendro, </w:t>
      </w:r>
      <w:r>
        <w:rPr>
          <w:rFonts w:ascii="Times New Roman" w:hAnsi="Times New Roman" w:cs="Times New Roman"/>
          <w:i/>
        </w:rPr>
        <w:t>Op.cit</w:t>
      </w:r>
      <w:r>
        <w:rPr>
          <w:rFonts w:ascii="Times New Roman" w:hAnsi="Times New Roman" w:cs="Times New Roman"/>
        </w:rPr>
        <w:t xml:space="preserve">., hlm </w:t>
      </w:r>
      <w:r w:rsidRPr="00454FEB">
        <w:rPr>
          <w:rFonts w:ascii="Times New Roman" w:hAnsi="Times New Roman" w:cs="Times New Roman"/>
        </w:rPr>
        <w:t>2</w:t>
      </w:r>
    </w:p>
    <w:p w:rsidR="00AA6F3E" w:rsidRDefault="00AA6F3E" w:rsidP="00AA6F3E">
      <w:pPr>
        <w:pStyle w:val="FootnoteText"/>
        <w:ind w:firstLine="425"/>
      </w:pPr>
    </w:p>
  </w:footnote>
  <w:footnote w:id="60">
    <w:p w:rsidR="00AA6F3E" w:rsidRPr="006C28CA" w:rsidRDefault="00AA6F3E" w:rsidP="00AA6F3E">
      <w:pPr>
        <w:pStyle w:val="FootnoteText"/>
        <w:ind w:firstLine="425"/>
        <w:jc w:val="both"/>
        <w:rPr>
          <w:rFonts w:ascii="Times New Roman" w:hAnsi="Times New Roman" w:cs="Times New Roman"/>
        </w:rPr>
      </w:pPr>
      <w:r w:rsidRPr="006C28CA">
        <w:rPr>
          <w:rStyle w:val="FootnoteReference"/>
        </w:rPr>
        <w:footnoteRef/>
      </w:r>
      <w:hyperlink r:id="rId2" w:history="1">
        <w:r w:rsidRPr="006C28CA">
          <w:rPr>
            <w:rStyle w:val="Hyperlink"/>
            <w:rFonts w:ascii="Times New Roman" w:hAnsi="Times New Roman" w:cs="Times New Roman"/>
            <w:color w:val="auto"/>
            <w:u w:val="none"/>
          </w:rPr>
          <w:t>http://m.hukumonline.com/berita/baca/hol3616/perbuatan-melawan-hukum-dan-</w:t>
        </w:r>
      </w:hyperlink>
      <w:r w:rsidRPr="006C28CA">
        <w:rPr>
          <w:rFonts w:ascii="Times New Roman" w:hAnsi="Times New Roman" w:cs="Times New Roman"/>
        </w:rPr>
        <w:t xml:space="preserve">wanprestasi-sebagai-dasar-gugatan, </w:t>
      </w:r>
      <w:r w:rsidRPr="006C28CA">
        <w:rPr>
          <w:rFonts w:ascii="Times New Roman" w:hAnsi="Times New Roman" w:cs="Times New Roman"/>
          <w:i/>
        </w:rPr>
        <w:t>Perbuatan Melawan Hukum dan Wanprestasi sebagai Dasar Gugatan</w:t>
      </w:r>
      <w:r w:rsidRPr="006C28CA">
        <w:rPr>
          <w:rFonts w:ascii="Times New Roman" w:hAnsi="Times New Roman" w:cs="Times New Roman"/>
        </w:rPr>
        <w:t xml:space="preserve">, 06 September 2001 </w:t>
      </w:r>
    </w:p>
  </w:footnote>
  <w:footnote w:id="61">
    <w:p w:rsidR="00AA6F3E" w:rsidRPr="00C864F7" w:rsidRDefault="00AA6F3E" w:rsidP="00AA6F3E">
      <w:pPr>
        <w:pStyle w:val="FootnoteText"/>
        <w:ind w:firstLine="425"/>
        <w:jc w:val="both"/>
        <w:rPr>
          <w:rFonts w:ascii="Times New Roman" w:hAnsi="Times New Roman" w:cs="Times New Roman"/>
        </w:rPr>
      </w:pPr>
      <w:r>
        <w:rPr>
          <w:rStyle w:val="FootnoteReference"/>
        </w:rPr>
        <w:footnoteRef/>
      </w:r>
      <w:r w:rsidRPr="00223B05">
        <w:rPr>
          <w:rFonts w:ascii="Times New Roman" w:hAnsi="Times New Roman" w:cs="Times New Roman"/>
          <w:lang w:val="en-US"/>
        </w:rPr>
        <w:t xml:space="preserve">Yahya Harahap, </w:t>
      </w:r>
      <w:r w:rsidRPr="00283476">
        <w:rPr>
          <w:rFonts w:ascii="Times New Roman" w:hAnsi="Times New Roman" w:cs="Times New Roman"/>
          <w:i/>
          <w:lang w:val="en-US"/>
        </w:rPr>
        <w:t>Hukum Acara Perdata</w:t>
      </w:r>
      <w:r w:rsidRPr="00223B05">
        <w:rPr>
          <w:rFonts w:ascii="Times New Roman" w:hAnsi="Times New Roman" w:cs="Times New Roman"/>
          <w:lang w:val="en-US"/>
        </w:rPr>
        <w:t xml:space="preserve">, Cetakan Keempat ( Jakarta : Sinar Grafika, 2006), hlm </w:t>
      </w:r>
      <w:r>
        <w:rPr>
          <w:rFonts w:ascii="Times New Roman" w:hAnsi="Times New Roman" w:cs="Times New Roman"/>
        </w:rPr>
        <w:t>229</w:t>
      </w:r>
    </w:p>
    <w:p w:rsidR="00AA6F3E" w:rsidRDefault="00AA6F3E" w:rsidP="00AA6F3E">
      <w:pPr>
        <w:pStyle w:val="FootnoteText"/>
      </w:pPr>
    </w:p>
  </w:footnote>
  <w:footnote w:id="62">
    <w:p w:rsidR="00AA6F3E" w:rsidRPr="00730E8F" w:rsidRDefault="00AA6F3E" w:rsidP="00AA6F3E">
      <w:pPr>
        <w:pStyle w:val="FootnoteText"/>
        <w:ind w:firstLine="426"/>
        <w:jc w:val="both"/>
        <w:rPr>
          <w:rFonts w:ascii="Times New Roman" w:hAnsi="Times New Roman" w:cs="Times New Roman"/>
        </w:rPr>
      </w:pPr>
      <w:r w:rsidRPr="00730E8F">
        <w:rPr>
          <w:rStyle w:val="FootnoteReference"/>
          <w:rFonts w:ascii="Times New Roman" w:hAnsi="Times New Roman" w:cs="Times New Roman"/>
        </w:rPr>
        <w:footnoteRef/>
      </w:r>
      <w:r w:rsidRPr="00730E8F">
        <w:rPr>
          <w:rFonts w:ascii="Times New Roman" w:hAnsi="Times New Roman" w:cs="Times New Roman"/>
        </w:rPr>
        <w:t xml:space="preserve">Sudikno Mertokusumo, </w:t>
      </w:r>
      <w:r w:rsidRPr="00730E8F">
        <w:rPr>
          <w:rFonts w:ascii="Times New Roman" w:hAnsi="Times New Roman" w:cs="Times New Roman"/>
          <w:i/>
        </w:rPr>
        <w:t>Hukum Acara Perdata Indonesia</w:t>
      </w:r>
      <w:r w:rsidRPr="00730E8F">
        <w:rPr>
          <w:rFonts w:ascii="Times New Roman" w:hAnsi="Times New Roman" w:cs="Times New Roman"/>
        </w:rPr>
        <w:t xml:space="preserve">, Edisi revisi ( Yogyakarta </w:t>
      </w:r>
      <w:r>
        <w:rPr>
          <w:rFonts w:ascii="Times New Roman" w:hAnsi="Times New Roman" w:cs="Times New Roman"/>
        </w:rPr>
        <w:t>: Cahaya Atma Pustaka, 2013), h</w:t>
      </w:r>
      <w:r w:rsidRPr="00730E8F">
        <w:rPr>
          <w:rFonts w:ascii="Times New Roman" w:hAnsi="Times New Roman" w:cs="Times New Roman"/>
        </w:rPr>
        <w:t>l</w:t>
      </w:r>
      <w:r>
        <w:rPr>
          <w:rFonts w:ascii="Times New Roman" w:hAnsi="Times New Roman" w:cs="Times New Roman"/>
        </w:rPr>
        <w:t>m</w:t>
      </w:r>
      <w:r w:rsidRPr="00730E8F">
        <w:rPr>
          <w:rFonts w:ascii="Times New Roman" w:hAnsi="Times New Roman" w:cs="Times New Roman"/>
        </w:rPr>
        <w:t xml:space="preserve"> 2</w:t>
      </w:r>
    </w:p>
  </w:footnote>
  <w:footnote w:id="63">
    <w:p w:rsidR="00AA6F3E" w:rsidRPr="00D00C15" w:rsidRDefault="00AA6F3E" w:rsidP="00AA6F3E">
      <w:pPr>
        <w:pStyle w:val="FootnoteText"/>
        <w:ind w:firstLine="426"/>
        <w:jc w:val="both"/>
        <w:rPr>
          <w:rFonts w:ascii="Times New Roman" w:hAnsi="Times New Roman" w:cs="Times New Roman"/>
        </w:rPr>
      </w:pPr>
      <w:r w:rsidRPr="00D00C15">
        <w:rPr>
          <w:rStyle w:val="FootnoteReference"/>
          <w:rFonts w:ascii="Times New Roman" w:hAnsi="Times New Roman" w:cs="Times New Roman"/>
        </w:rPr>
        <w:footnoteRef/>
      </w:r>
      <w:r w:rsidRPr="00F34C36">
        <w:rPr>
          <w:rFonts w:ascii="Times New Roman" w:hAnsi="Times New Roman" w:cs="Times New Roman"/>
          <w:i/>
        </w:rPr>
        <w:t>Ibid</w:t>
      </w:r>
      <w:r>
        <w:rPr>
          <w:rFonts w:ascii="Times New Roman" w:hAnsi="Times New Roman" w:cs="Times New Roman"/>
          <w:i/>
        </w:rPr>
        <w:t>.</w:t>
      </w:r>
      <w:r w:rsidRPr="00D00C15">
        <w:rPr>
          <w:rFonts w:ascii="Times New Roman" w:hAnsi="Times New Roman" w:cs="Times New Roman"/>
        </w:rPr>
        <w:t>, hl</w:t>
      </w:r>
      <w:r>
        <w:rPr>
          <w:rFonts w:ascii="Times New Roman" w:hAnsi="Times New Roman" w:cs="Times New Roman"/>
        </w:rPr>
        <w:t>m</w:t>
      </w:r>
      <w:r w:rsidRPr="00D00C15">
        <w:rPr>
          <w:rFonts w:ascii="Times New Roman" w:hAnsi="Times New Roman" w:cs="Times New Roman"/>
        </w:rPr>
        <w:t xml:space="preserve"> 55</w:t>
      </w:r>
    </w:p>
  </w:footnote>
  <w:footnote w:id="64">
    <w:p w:rsidR="00AA6F3E" w:rsidRPr="00AA6197" w:rsidRDefault="00AA6F3E" w:rsidP="00AA6F3E">
      <w:pPr>
        <w:pStyle w:val="FootnoteText"/>
        <w:ind w:firstLine="426"/>
        <w:jc w:val="both"/>
        <w:rPr>
          <w:rFonts w:ascii="Times New Roman" w:hAnsi="Times New Roman" w:cs="Times New Roman"/>
        </w:rPr>
      </w:pPr>
      <w:r w:rsidRPr="00AA6197">
        <w:rPr>
          <w:rStyle w:val="FootnoteReference"/>
          <w:rFonts w:ascii="Times New Roman" w:hAnsi="Times New Roman" w:cs="Times New Roman"/>
        </w:rPr>
        <w:footnoteRef/>
      </w:r>
      <w:r w:rsidRPr="00AA6197">
        <w:rPr>
          <w:rFonts w:ascii="Times New Roman" w:hAnsi="Times New Roman" w:cs="Times New Roman"/>
        </w:rPr>
        <w:t xml:space="preserve">Neng Yani Nurhayani, </w:t>
      </w:r>
      <w:r w:rsidRPr="00863287">
        <w:rPr>
          <w:rFonts w:ascii="Times New Roman" w:hAnsi="Times New Roman" w:cs="Times New Roman"/>
          <w:i/>
        </w:rPr>
        <w:t>Op.cit.</w:t>
      </w:r>
      <w:r w:rsidRPr="00AA6197">
        <w:rPr>
          <w:rFonts w:ascii="Times New Roman" w:hAnsi="Times New Roman" w:cs="Times New Roman"/>
        </w:rPr>
        <w:t>, hlm 20</w:t>
      </w:r>
    </w:p>
    <w:p w:rsidR="00AA6F3E" w:rsidRPr="00AA6197" w:rsidRDefault="00AA6F3E" w:rsidP="00AA6F3E">
      <w:pPr>
        <w:pStyle w:val="FootnoteText"/>
        <w:ind w:left="709" w:firstLine="425"/>
        <w:jc w:val="both"/>
        <w:rPr>
          <w:rFonts w:ascii="Times New Roman" w:hAnsi="Times New Roman" w:cs="Times New Roman"/>
        </w:rPr>
      </w:pPr>
    </w:p>
  </w:footnote>
  <w:footnote w:id="65">
    <w:p w:rsidR="00AA6F3E" w:rsidRPr="00AF393F" w:rsidRDefault="00AA6F3E" w:rsidP="00AA6F3E">
      <w:pPr>
        <w:pStyle w:val="FootnoteText"/>
        <w:ind w:firstLine="425"/>
        <w:jc w:val="both"/>
        <w:rPr>
          <w:rFonts w:ascii="Times New Roman" w:hAnsi="Times New Roman" w:cs="Times New Roman"/>
          <w:lang w:val="en-US"/>
        </w:rPr>
      </w:pPr>
      <w:r w:rsidRPr="00AF393F">
        <w:rPr>
          <w:rStyle w:val="FootnoteReference"/>
          <w:rFonts w:ascii="Times New Roman" w:hAnsi="Times New Roman" w:cs="Times New Roman"/>
        </w:rPr>
        <w:footnoteRef/>
      </w:r>
      <w:r w:rsidRPr="00AF393F">
        <w:rPr>
          <w:rFonts w:ascii="Times New Roman" w:hAnsi="Times New Roman" w:cs="Times New Roman"/>
          <w:lang w:val="en-US"/>
        </w:rPr>
        <w:t xml:space="preserve">Sarwono, </w:t>
      </w:r>
      <w:r>
        <w:rPr>
          <w:rFonts w:ascii="Times New Roman" w:hAnsi="Times New Roman" w:cs="Times New Roman"/>
          <w:i/>
        </w:rPr>
        <w:t>Op.cit.</w:t>
      </w:r>
      <w:r w:rsidRPr="00AF393F">
        <w:rPr>
          <w:rFonts w:ascii="Times New Roman" w:hAnsi="Times New Roman" w:cs="Times New Roman"/>
          <w:i/>
          <w:lang w:val="en-US"/>
        </w:rPr>
        <w:t xml:space="preserve">, </w:t>
      </w:r>
      <w:r w:rsidRPr="00AF393F">
        <w:rPr>
          <w:rFonts w:ascii="Times New Roman" w:hAnsi="Times New Roman" w:cs="Times New Roman"/>
          <w:lang w:val="en-US"/>
        </w:rPr>
        <w:t>hlm 31</w:t>
      </w:r>
    </w:p>
  </w:footnote>
  <w:footnote w:id="66">
    <w:p w:rsidR="00AA6F3E" w:rsidRPr="00AA6197" w:rsidRDefault="00AA6F3E" w:rsidP="00AA6F3E">
      <w:pPr>
        <w:pStyle w:val="FootnoteText"/>
        <w:ind w:firstLine="425"/>
        <w:jc w:val="both"/>
        <w:rPr>
          <w:rFonts w:ascii="Times New Roman" w:hAnsi="Times New Roman" w:cs="Times New Roman"/>
        </w:rPr>
      </w:pPr>
      <w:r w:rsidRPr="00AA6197">
        <w:rPr>
          <w:rStyle w:val="FootnoteReference"/>
          <w:rFonts w:ascii="Times New Roman" w:hAnsi="Times New Roman" w:cs="Times New Roman"/>
        </w:rPr>
        <w:footnoteRef/>
      </w:r>
      <w:r w:rsidRPr="00AA6197">
        <w:rPr>
          <w:rFonts w:ascii="Times New Roman" w:hAnsi="Times New Roman" w:cs="Times New Roman"/>
        </w:rPr>
        <w:t>Artikel DJKN “</w:t>
      </w:r>
      <w:r w:rsidRPr="00AA6197">
        <w:rPr>
          <w:rFonts w:ascii="Times New Roman" w:hAnsi="Times New Roman" w:cs="Times New Roman"/>
          <w:i/>
        </w:rPr>
        <w:t>Perbuatan Melawan Hukum dalam Gugatan Pelaksanaan Lelang di KPKNL</w:t>
      </w:r>
      <w:r w:rsidRPr="00AA6197">
        <w:rPr>
          <w:rFonts w:ascii="Times New Roman" w:hAnsi="Times New Roman" w:cs="Times New Roman"/>
        </w:rPr>
        <w:t>”, https://www.djkn.kemenkeu.go.id</w:t>
      </w:r>
    </w:p>
  </w:footnote>
  <w:footnote w:id="67">
    <w:p w:rsidR="00AA6F3E" w:rsidRPr="000B2BC5" w:rsidRDefault="00AA6F3E" w:rsidP="00AA6F3E">
      <w:pPr>
        <w:pStyle w:val="FootnoteText"/>
        <w:ind w:firstLine="425"/>
        <w:jc w:val="both"/>
        <w:rPr>
          <w:rFonts w:ascii="Times New Roman" w:hAnsi="Times New Roman" w:cs="Times New Roman"/>
        </w:rPr>
      </w:pPr>
      <w:r w:rsidRPr="000B2BC5">
        <w:rPr>
          <w:rStyle w:val="FootnoteReference"/>
          <w:rFonts w:ascii="Times New Roman" w:hAnsi="Times New Roman" w:cs="Times New Roman"/>
        </w:rPr>
        <w:footnoteRef/>
      </w:r>
      <w:r w:rsidRPr="000B2BC5">
        <w:rPr>
          <w:rFonts w:ascii="Times New Roman" w:hAnsi="Times New Roman" w:cs="Times New Roman"/>
        </w:rPr>
        <w:t xml:space="preserve">Djazuli Bachar, </w:t>
      </w:r>
      <w:r w:rsidRPr="000B2BC5">
        <w:rPr>
          <w:rFonts w:ascii="Times New Roman" w:hAnsi="Times New Roman" w:cs="Times New Roman"/>
          <w:i/>
        </w:rPr>
        <w:t>Eksekusi Putusan Perkara Perdata</w:t>
      </w:r>
      <w:r w:rsidRPr="000B2BC5">
        <w:rPr>
          <w:rFonts w:ascii="Times New Roman" w:hAnsi="Times New Roman" w:cs="Times New Roman"/>
        </w:rPr>
        <w:t>, Cetakan Kedua ( Jakarta : CV. Akademika Pressindo, 1995), hlm 34</w:t>
      </w:r>
    </w:p>
  </w:footnote>
  <w:footnote w:id="68">
    <w:p w:rsidR="00AA6F3E" w:rsidRPr="00223B05" w:rsidRDefault="00AA6F3E" w:rsidP="00AA6F3E">
      <w:pPr>
        <w:pStyle w:val="FootnoteText"/>
        <w:ind w:firstLine="425"/>
        <w:jc w:val="both"/>
        <w:rPr>
          <w:rFonts w:ascii="Times New Roman" w:hAnsi="Times New Roman" w:cs="Times New Roman"/>
          <w:lang w:val="en-US"/>
        </w:rPr>
      </w:pPr>
      <w:r w:rsidRPr="00223B05">
        <w:rPr>
          <w:rStyle w:val="FootnoteReference"/>
          <w:rFonts w:ascii="Times New Roman" w:hAnsi="Times New Roman" w:cs="Times New Roman"/>
        </w:rPr>
        <w:footnoteRef/>
      </w:r>
      <w:r w:rsidRPr="00223B05">
        <w:rPr>
          <w:rFonts w:ascii="Times New Roman" w:hAnsi="Times New Roman" w:cs="Times New Roman"/>
          <w:lang w:val="en-US"/>
        </w:rPr>
        <w:t xml:space="preserve">Yahya Harahap, </w:t>
      </w:r>
      <w:r w:rsidRPr="00863287">
        <w:rPr>
          <w:rFonts w:ascii="Times New Roman" w:hAnsi="Times New Roman" w:cs="Times New Roman"/>
          <w:i/>
        </w:rPr>
        <w:t>Op</w:t>
      </w:r>
      <w:r>
        <w:rPr>
          <w:rFonts w:ascii="Times New Roman" w:hAnsi="Times New Roman" w:cs="Times New Roman"/>
          <w:i/>
        </w:rPr>
        <w:t>.cit.</w:t>
      </w:r>
      <w:r w:rsidRPr="00223B05">
        <w:rPr>
          <w:rFonts w:ascii="Times New Roman" w:hAnsi="Times New Roman" w:cs="Times New Roman"/>
          <w:lang w:val="en-US"/>
        </w:rPr>
        <w:t>, hlm 46</w:t>
      </w:r>
    </w:p>
  </w:footnote>
  <w:footnote w:id="69">
    <w:p w:rsidR="00AA6F3E" w:rsidRPr="0060017A" w:rsidRDefault="00AA6F3E" w:rsidP="00AA6F3E">
      <w:pPr>
        <w:pStyle w:val="FootnoteText"/>
        <w:ind w:firstLine="425"/>
        <w:jc w:val="both"/>
        <w:rPr>
          <w:rFonts w:ascii="Times New Roman" w:hAnsi="Times New Roman" w:cs="Times New Roman"/>
          <w:lang w:val="en-US"/>
        </w:rPr>
      </w:pPr>
      <w:r w:rsidRPr="0060017A">
        <w:rPr>
          <w:rStyle w:val="FootnoteReference"/>
          <w:rFonts w:ascii="Times New Roman" w:hAnsi="Times New Roman" w:cs="Times New Roman"/>
        </w:rPr>
        <w:footnoteRef/>
      </w:r>
      <w:r w:rsidRPr="0060017A">
        <w:rPr>
          <w:rFonts w:ascii="Times New Roman" w:hAnsi="Times New Roman" w:cs="Times New Roman"/>
          <w:lang w:val="en-US"/>
        </w:rPr>
        <w:t xml:space="preserve">Meriam Webster, </w:t>
      </w:r>
      <w:r w:rsidRPr="0060017A">
        <w:rPr>
          <w:rFonts w:ascii="Times New Roman" w:hAnsi="Times New Roman" w:cs="Times New Roman"/>
          <w:i/>
          <w:lang w:val="en-US"/>
        </w:rPr>
        <w:t>Meriam Webster’S Dictionary of Law</w:t>
      </w:r>
      <w:r w:rsidRPr="0060017A">
        <w:rPr>
          <w:rFonts w:ascii="Times New Roman" w:hAnsi="Times New Roman" w:cs="Times New Roman"/>
          <w:lang w:val="en-US"/>
        </w:rPr>
        <w:t xml:space="preserve"> dikutip dari Yahya Harahap, </w:t>
      </w:r>
      <w:r>
        <w:rPr>
          <w:rFonts w:ascii="Times New Roman" w:hAnsi="Times New Roman" w:cs="Times New Roman"/>
          <w:lang w:val="en-US"/>
        </w:rPr>
        <w:t xml:space="preserve">  </w:t>
      </w:r>
      <w:r w:rsidRPr="0060017A">
        <w:rPr>
          <w:rFonts w:ascii="Times New Roman" w:hAnsi="Times New Roman" w:cs="Times New Roman"/>
          <w:i/>
          <w:lang w:val="en-US"/>
        </w:rPr>
        <w:t>Ibid</w:t>
      </w:r>
      <w:r>
        <w:rPr>
          <w:rFonts w:ascii="Times New Roman" w:hAnsi="Times New Roman" w:cs="Times New Roman"/>
          <w:i/>
        </w:rPr>
        <w:t>.</w:t>
      </w:r>
      <w:r w:rsidRPr="0060017A">
        <w:rPr>
          <w:rFonts w:ascii="Times New Roman" w:hAnsi="Times New Roman" w:cs="Times New Roman"/>
          <w:lang w:val="en-US"/>
        </w:rPr>
        <w:t>, hlm 47</w:t>
      </w:r>
    </w:p>
  </w:footnote>
  <w:footnote w:id="70">
    <w:p w:rsidR="00AA6F3E" w:rsidRPr="0060017A" w:rsidRDefault="00AA6F3E" w:rsidP="00AA6F3E">
      <w:pPr>
        <w:pStyle w:val="FootnoteText"/>
        <w:ind w:firstLine="425"/>
        <w:rPr>
          <w:rFonts w:ascii="Times New Roman" w:hAnsi="Times New Roman" w:cs="Times New Roman"/>
          <w:lang w:val="en-US"/>
        </w:rPr>
      </w:pPr>
      <w:r w:rsidRPr="00AE346C">
        <w:rPr>
          <w:rStyle w:val="FootnoteReference"/>
          <w:rFonts w:ascii="Times New Roman" w:hAnsi="Times New Roman" w:cs="Times New Roman"/>
        </w:rPr>
        <w:footnoteRef/>
      </w:r>
      <w:r w:rsidRPr="0060017A">
        <w:rPr>
          <w:rFonts w:ascii="Times New Roman" w:hAnsi="Times New Roman" w:cs="Times New Roman"/>
          <w:i/>
          <w:lang w:val="en-US"/>
        </w:rPr>
        <w:t>Ibid</w:t>
      </w:r>
      <w:r>
        <w:rPr>
          <w:rFonts w:ascii="Times New Roman" w:hAnsi="Times New Roman" w:cs="Times New Roman"/>
          <w:i/>
        </w:rPr>
        <w:t>.</w:t>
      </w:r>
      <w:r w:rsidRPr="0060017A">
        <w:rPr>
          <w:rFonts w:ascii="Times New Roman" w:hAnsi="Times New Roman" w:cs="Times New Roman"/>
          <w:lang w:val="en-US"/>
        </w:rPr>
        <w:t xml:space="preserve">, </w:t>
      </w:r>
      <w:r>
        <w:rPr>
          <w:rFonts w:ascii="Times New Roman" w:hAnsi="Times New Roman" w:cs="Times New Roman"/>
        </w:rPr>
        <w:t xml:space="preserve">Yahya Harahap, </w:t>
      </w:r>
      <w:r w:rsidRPr="0060017A">
        <w:rPr>
          <w:rFonts w:ascii="Times New Roman" w:hAnsi="Times New Roman" w:cs="Times New Roman"/>
          <w:lang w:val="en-US"/>
        </w:rPr>
        <w:t>hlm 46</w:t>
      </w:r>
    </w:p>
  </w:footnote>
  <w:footnote w:id="71">
    <w:p w:rsidR="00AA6F3E" w:rsidRPr="0060017A" w:rsidRDefault="00AA6F3E" w:rsidP="00AA6F3E">
      <w:pPr>
        <w:pStyle w:val="FootnoteText"/>
        <w:ind w:firstLine="425"/>
        <w:rPr>
          <w:rFonts w:ascii="Times New Roman" w:hAnsi="Times New Roman" w:cs="Times New Roman"/>
          <w:lang w:val="en-US"/>
        </w:rPr>
      </w:pPr>
      <w:r w:rsidRPr="0060017A">
        <w:rPr>
          <w:rStyle w:val="FootnoteReference"/>
          <w:rFonts w:ascii="Times New Roman" w:hAnsi="Times New Roman" w:cs="Times New Roman"/>
        </w:rPr>
        <w:footnoteRef/>
      </w:r>
      <w:r w:rsidRPr="0060017A">
        <w:rPr>
          <w:rFonts w:ascii="Times New Roman" w:hAnsi="Times New Roman" w:cs="Times New Roman"/>
          <w:i/>
          <w:lang w:val="en-US"/>
        </w:rPr>
        <w:t>Ibid</w:t>
      </w:r>
      <w:r>
        <w:rPr>
          <w:rFonts w:ascii="Times New Roman" w:hAnsi="Times New Roman" w:cs="Times New Roman"/>
          <w:i/>
        </w:rPr>
        <w:t>.</w:t>
      </w:r>
      <w:r w:rsidRPr="0060017A">
        <w:rPr>
          <w:rFonts w:ascii="Times New Roman" w:hAnsi="Times New Roman" w:cs="Times New Roman"/>
          <w:lang w:val="en-US"/>
        </w:rPr>
        <w:t>,</w:t>
      </w:r>
      <w:r>
        <w:rPr>
          <w:rFonts w:ascii="Times New Roman" w:hAnsi="Times New Roman" w:cs="Times New Roman"/>
        </w:rPr>
        <w:t xml:space="preserve"> Yahya Harahap,</w:t>
      </w:r>
      <w:r w:rsidRPr="0060017A">
        <w:rPr>
          <w:rFonts w:ascii="Times New Roman" w:hAnsi="Times New Roman" w:cs="Times New Roman"/>
          <w:lang w:val="en-US"/>
        </w:rPr>
        <w:t xml:space="preserve"> hlm 46</w:t>
      </w:r>
    </w:p>
  </w:footnote>
  <w:footnote w:id="72">
    <w:p w:rsidR="00AA6F3E" w:rsidRPr="00724ABD" w:rsidRDefault="00AA6F3E" w:rsidP="00AA6F3E">
      <w:pPr>
        <w:pStyle w:val="FootnoteText"/>
        <w:ind w:firstLine="425"/>
        <w:jc w:val="both"/>
        <w:rPr>
          <w:rFonts w:ascii="Times New Roman" w:hAnsi="Times New Roman" w:cs="Times New Roman"/>
        </w:rPr>
      </w:pPr>
      <w:r w:rsidRPr="002711D1">
        <w:rPr>
          <w:rStyle w:val="FootnoteReference"/>
          <w:rFonts w:ascii="Times New Roman" w:hAnsi="Times New Roman" w:cs="Times New Roman"/>
        </w:rPr>
        <w:footnoteRef/>
      </w:r>
      <w:r w:rsidRPr="002711D1">
        <w:rPr>
          <w:rFonts w:ascii="Times New Roman" w:hAnsi="Times New Roman" w:cs="Times New Roman"/>
        </w:rPr>
        <w:t>Hapus</w:t>
      </w:r>
      <w:r>
        <w:rPr>
          <w:rFonts w:ascii="Times New Roman" w:hAnsi="Times New Roman" w:cs="Times New Roman"/>
        </w:rPr>
        <w:t xml:space="preserve">nya perjanjian disebabkan lima </w:t>
      </w:r>
      <w:r w:rsidRPr="002711D1">
        <w:rPr>
          <w:rFonts w:ascii="Times New Roman" w:hAnsi="Times New Roman" w:cs="Times New Roman"/>
        </w:rPr>
        <w:t>hal, yaitu : (1). telah lampau waktunya (kadaluwarsa), (2).telah tercapai tujuannya, (3). dinyatakan berhenti oleh para pihak maupun undang-undang, (4).dicabut kembali, (5).diputus oleh Hakim.</w:t>
      </w:r>
      <w:r>
        <w:rPr>
          <w:rFonts w:ascii="Times New Roman" w:hAnsi="Times New Roman" w:cs="Times New Roman"/>
        </w:rPr>
        <w:t xml:space="preserve"> Titik Triwulan Tutik, </w:t>
      </w:r>
      <w:r>
        <w:rPr>
          <w:rFonts w:ascii="Times New Roman" w:hAnsi="Times New Roman" w:cs="Times New Roman"/>
          <w:i/>
        </w:rPr>
        <w:t>Op.cit.</w:t>
      </w:r>
      <w:r w:rsidRPr="00724ABD">
        <w:rPr>
          <w:rFonts w:ascii="Times New Roman" w:hAnsi="Times New Roman" w:cs="Times New Roman"/>
        </w:rPr>
        <w:t xml:space="preserve">, </w:t>
      </w:r>
      <w:r>
        <w:rPr>
          <w:rFonts w:ascii="Times New Roman" w:hAnsi="Times New Roman" w:cs="Times New Roman"/>
        </w:rPr>
        <w:t>hlm</w:t>
      </w:r>
      <w:r w:rsidRPr="00724ABD">
        <w:rPr>
          <w:rFonts w:ascii="Times New Roman" w:hAnsi="Times New Roman" w:cs="Times New Roman"/>
        </w:rPr>
        <w:t xml:space="preserve"> </w:t>
      </w:r>
      <w:r>
        <w:rPr>
          <w:rFonts w:ascii="Times New Roman" w:hAnsi="Times New Roman" w:cs="Times New Roman"/>
        </w:rPr>
        <w:t>237 - 238</w:t>
      </w:r>
    </w:p>
    <w:p w:rsidR="00AA6F3E" w:rsidRPr="002711D1" w:rsidRDefault="00AA6F3E" w:rsidP="00AA6F3E">
      <w:pPr>
        <w:pStyle w:val="FootnoteText"/>
        <w:ind w:firstLine="425"/>
        <w:jc w:val="both"/>
        <w:rPr>
          <w:rFonts w:ascii="Times New Roman" w:hAnsi="Times New Roman" w:cs="Times New Roman"/>
        </w:rPr>
      </w:pPr>
    </w:p>
  </w:footnote>
  <w:footnote w:id="73">
    <w:p w:rsidR="00AA6F3E" w:rsidRPr="00400EDD" w:rsidRDefault="00AA6F3E" w:rsidP="00AA6F3E">
      <w:pPr>
        <w:pStyle w:val="FootnoteText"/>
        <w:ind w:firstLine="425"/>
        <w:jc w:val="both"/>
        <w:rPr>
          <w:rFonts w:ascii="Times New Roman" w:hAnsi="Times New Roman" w:cs="Times New Roman"/>
        </w:rPr>
      </w:pPr>
      <w:r>
        <w:rPr>
          <w:rStyle w:val="FootnoteReference"/>
        </w:rPr>
        <w:footnoteRef/>
      </w:r>
      <w:r w:rsidRPr="00223B05">
        <w:rPr>
          <w:rFonts w:ascii="Times New Roman" w:hAnsi="Times New Roman" w:cs="Times New Roman"/>
          <w:lang w:val="en-US"/>
        </w:rPr>
        <w:t xml:space="preserve">Yahya Harahap, </w:t>
      </w:r>
      <w:r>
        <w:rPr>
          <w:rFonts w:ascii="Times New Roman" w:hAnsi="Times New Roman" w:cs="Times New Roman"/>
          <w:i/>
        </w:rPr>
        <w:t>Op.cit.</w:t>
      </w:r>
      <w:r w:rsidRPr="00223B05">
        <w:rPr>
          <w:rFonts w:ascii="Times New Roman" w:hAnsi="Times New Roman" w:cs="Times New Roman"/>
          <w:lang w:val="en-US"/>
        </w:rPr>
        <w:t xml:space="preserve">, hlm </w:t>
      </w:r>
      <w:r>
        <w:rPr>
          <w:rFonts w:ascii="Times New Roman" w:hAnsi="Times New Roman" w:cs="Times New Roman"/>
        </w:rPr>
        <w:t>213-214</w:t>
      </w:r>
    </w:p>
    <w:p w:rsidR="00AA6F3E" w:rsidRDefault="00AA6F3E" w:rsidP="00AA6F3E">
      <w:pPr>
        <w:pStyle w:val="FootnoteText"/>
      </w:pPr>
    </w:p>
  </w:footnote>
  <w:footnote w:id="74">
    <w:p w:rsidR="00AA6F3E" w:rsidRPr="00400EDD" w:rsidRDefault="00AA6F3E" w:rsidP="00AA6F3E">
      <w:pPr>
        <w:pStyle w:val="FootnoteText"/>
        <w:ind w:firstLine="425"/>
        <w:jc w:val="both"/>
        <w:rPr>
          <w:rFonts w:ascii="Times New Roman" w:hAnsi="Times New Roman" w:cs="Times New Roman"/>
        </w:rPr>
      </w:pPr>
      <w:r>
        <w:rPr>
          <w:rStyle w:val="FootnoteReference"/>
        </w:rPr>
        <w:footnoteRef/>
      </w:r>
      <w:r>
        <w:t xml:space="preserve"> </w:t>
      </w:r>
      <w:r w:rsidRPr="008E14EA">
        <w:rPr>
          <w:rFonts w:ascii="Times New Roman" w:hAnsi="Times New Roman" w:cs="Times New Roman"/>
          <w:i/>
        </w:rPr>
        <w:t>Ibid</w:t>
      </w:r>
      <w:r>
        <w:rPr>
          <w:rFonts w:ascii="Times New Roman" w:hAnsi="Times New Roman" w:cs="Times New Roman"/>
        </w:rPr>
        <w:t xml:space="preserve">., </w:t>
      </w:r>
      <w:r w:rsidRPr="00223B05">
        <w:rPr>
          <w:rFonts w:ascii="Times New Roman" w:hAnsi="Times New Roman" w:cs="Times New Roman"/>
          <w:lang w:val="en-US"/>
        </w:rPr>
        <w:t xml:space="preserve">hlm </w:t>
      </w:r>
      <w:r>
        <w:rPr>
          <w:rFonts w:ascii="Times New Roman" w:hAnsi="Times New Roman" w:cs="Times New Roman"/>
        </w:rPr>
        <w:t>213-214</w:t>
      </w:r>
    </w:p>
    <w:p w:rsidR="00AA6F3E" w:rsidRDefault="00AA6F3E" w:rsidP="00AA6F3E">
      <w:pPr>
        <w:pStyle w:val="FootnoteText"/>
      </w:pPr>
    </w:p>
  </w:footnote>
  <w:footnote w:id="75">
    <w:p w:rsidR="00AA6F3E" w:rsidRPr="00E00B68" w:rsidRDefault="00AA6F3E" w:rsidP="00AA6F3E">
      <w:pPr>
        <w:pStyle w:val="FootnoteText"/>
        <w:ind w:firstLine="425"/>
        <w:jc w:val="both"/>
        <w:rPr>
          <w:rFonts w:ascii="Times New Roman" w:hAnsi="Times New Roman" w:cs="Times New Roman"/>
        </w:rPr>
      </w:pPr>
      <w:r>
        <w:rPr>
          <w:rStyle w:val="FootnoteReference"/>
        </w:rPr>
        <w:footnoteRef/>
      </w:r>
      <w:r w:rsidRPr="0012630F">
        <w:rPr>
          <w:rFonts w:ascii="Times New Roman" w:hAnsi="Times New Roman" w:cs="Times New Roman"/>
          <w:i/>
        </w:rPr>
        <w:t>Ibid</w:t>
      </w:r>
      <w:r>
        <w:rPr>
          <w:rFonts w:ascii="Times New Roman" w:hAnsi="Times New Roman" w:cs="Times New Roman"/>
        </w:rPr>
        <w:t xml:space="preserve">., </w:t>
      </w:r>
      <w:r w:rsidRPr="00223B05">
        <w:rPr>
          <w:rFonts w:ascii="Times New Roman" w:hAnsi="Times New Roman" w:cs="Times New Roman"/>
          <w:lang w:val="en-US"/>
        </w:rPr>
        <w:t xml:space="preserve">hlm </w:t>
      </w:r>
      <w:r>
        <w:rPr>
          <w:rFonts w:ascii="Times New Roman" w:hAnsi="Times New Roman" w:cs="Times New Roman"/>
        </w:rPr>
        <w:t>236</w:t>
      </w:r>
    </w:p>
    <w:p w:rsidR="00AA6F3E" w:rsidRDefault="00AA6F3E" w:rsidP="00AA6F3E">
      <w:pPr>
        <w:pStyle w:val="FootnoteText"/>
      </w:pPr>
      <w:r>
        <w:t xml:space="preserve"> </w:t>
      </w:r>
    </w:p>
  </w:footnote>
  <w:footnote w:id="76">
    <w:p w:rsidR="00AA6F3E" w:rsidRPr="00E00B68" w:rsidRDefault="00AA6F3E" w:rsidP="00AA6F3E">
      <w:pPr>
        <w:pStyle w:val="FootnoteText"/>
        <w:ind w:firstLine="425"/>
        <w:jc w:val="both"/>
        <w:rPr>
          <w:rFonts w:ascii="Times New Roman" w:hAnsi="Times New Roman" w:cs="Times New Roman"/>
        </w:rPr>
      </w:pPr>
      <w:r>
        <w:rPr>
          <w:rStyle w:val="FootnoteReference"/>
        </w:rPr>
        <w:footnoteRef/>
      </w:r>
      <w:r w:rsidRPr="00B207EF">
        <w:rPr>
          <w:rFonts w:ascii="Times New Roman" w:hAnsi="Times New Roman" w:cs="Times New Roman"/>
          <w:i/>
        </w:rPr>
        <w:t>Ibid</w:t>
      </w:r>
      <w:r>
        <w:rPr>
          <w:rFonts w:ascii="Times New Roman" w:hAnsi="Times New Roman" w:cs="Times New Roman"/>
        </w:rPr>
        <w:t xml:space="preserve">., </w:t>
      </w:r>
      <w:r w:rsidRPr="00223B05">
        <w:rPr>
          <w:rFonts w:ascii="Times New Roman" w:hAnsi="Times New Roman" w:cs="Times New Roman"/>
          <w:lang w:val="en-US"/>
        </w:rPr>
        <w:t xml:space="preserve">hlm </w:t>
      </w:r>
      <w:r>
        <w:rPr>
          <w:rFonts w:ascii="Times New Roman" w:hAnsi="Times New Roman" w:cs="Times New Roman"/>
        </w:rPr>
        <w:t>282 - 285</w:t>
      </w:r>
    </w:p>
    <w:p w:rsidR="00AA6F3E" w:rsidRDefault="00AA6F3E" w:rsidP="00AA6F3E">
      <w:pPr>
        <w:pStyle w:val="FootnoteText"/>
      </w:pPr>
    </w:p>
  </w:footnote>
  <w:footnote w:id="77">
    <w:p w:rsidR="00AA6F3E" w:rsidRPr="00D64913" w:rsidRDefault="00AA6F3E" w:rsidP="00AA6F3E">
      <w:pPr>
        <w:pStyle w:val="FootnoteText"/>
        <w:ind w:firstLine="426"/>
        <w:jc w:val="both"/>
        <w:rPr>
          <w:rFonts w:ascii="Times New Roman" w:hAnsi="Times New Roman" w:cs="Times New Roman"/>
        </w:rPr>
      </w:pPr>
      <w:r w:rsidRPr="00D64913">
        <w:rPr>
          <w:rStyle w:val="FootnoteReference"/>
          <w:rFonts w:ascii="Times New Roman" w:hAnsi="Times New Roman" w:cs="Times New Roman"/>
        </w:rPr>
        <w:footnoteRef/>
      </w:r>
      <w:r w:rsidRPr="00D64913">
        <w:rPr>
          <w:rFonts w:ascii="Times New Roman" w:hAnsi="Times New Roman" w:cs="Times New Roman"/>
        </w:rPr>
        <w:t xml:space="preserve">Sudikno Mertokusumo, </w:t>
      </w:r>
      <w:r>
        <w:rPr>
          <w:rFonts w:ascii="Times New Roman" w:hAnsi="Times New Roman" w:cs="Times New Roman"/>
          <w:i/>
        </w:rPr>
        <w:t>Op.cit.</w:t>
      </w:r>
      <w:r w:rsidRPr="00D64913">
        <w:rPr>
          <w:rFonts w:ascii="Times New Roman" w:hAnsi="Times New Roman" w:cs="Times New Roman"/>
        </w:rPr>
        <w:t>, hlm 68</w:t>
      </w:r>
    </w:p>
  </w:footnote>
  <w:footnote w:id="78">
    <w:p w:rsidR="00AA6F3E" w:rsidRPr="006A4780" w:rsidRDefault="00AA6F3E" w:rsidP="00AA6F3E">
      <w:pPr>
        <w:pStyle w:val="FootnoteText"/>
        <w:ind w:firstLine="426"/>
        <w:jc w:val="both"/>
        <w:rPr>
          <w:rFonts w:ascii="Times New Roman" w:hAnsi="Times New Roman" w:cs="Times New Roman"/>
        </w:rPr>
      </w:pPr>
      <w:r w:rsidRPr="006A4780">
        <w:rPr>
          <w:rStyle w:val="FootnoteReference"/>
          <w:rFonts w:ascii="Times New Roman" w:hAnsi="Times New Roman" w:cs="Times New Roman"/>
        </w:rPr>
        <w:footnoteRef/>
      </w:r>
      <w:r w:rsidRPr="006A4780">
        <w:rPr>
          <w:rFonts w:ascii="Times New Roman" w:hAnsi="Times New Roman" w:cs="Times New Roman"/>
        </w:rPr>
        <w:t xml:space="preserve">Taufik Makarau, </w:t>
      </w:r>
      <w:r w:rsidRPr="006A4780">
        <w:rPr>
          <w:rFonts w:ascii="Times New Roman" w:hAnsi="Times New Roman" w:cs="Times New Roman"/>
          <w:i/>
        </w:rPr>
        <w:t>Pokok-Pokok Hukum Acara Perdata</w:t>
      </w:r>
      <w:r w:rsidRPr="006A4780">
        <w:rPr>
          <w:rFonts w:ascii="Times New Roman" w:hAnsi="Times New Roman" w:cs="Times New Roman"/>
        </w:rPr>
        <w:t>, Cetakan Pertama (Jakarta : Rineka Cipta, 2004), hlm 46</w:t>
      </w:r>
    </w:p>
  </w:footnote>
  <w:footnote w:id="79">
    <w:p w:rsidR="00AA6F3E" w:rsidRPr="00D64913" w:rsidRDefault="00AA6F3E" w:rsidP="00AA6F3E">
      <w:pPr>
        <w:pStyle w:val="FootnoteText"/>
        <w:ind w:firstLine="426"/>
        <w:jc w:val="both"/>
        <w:rPr>
          <w:rFonts w:ascii="Times New Roman" w:hAnsi="Times New Roman" w:cs="Times New Roman"/>
        </w:rPr>
      </w:pPr>
      <w:r>
        <w:rPr>
          <w:rStyle w:val="FootnoteReference"/>
        </w:rPr>
        <w:footnoteRef/>
      </w:r>
      <w:r w:rsidRPr="00D64913">
        <w:rPr>
          <w:rFonts w:ascii="Times New Roman" w:hAnsi="Times New Roman" w:cs="Times New Roman"/>
        </w:rPr>
        <w:t xml:space="preserve">Sudikno Mertokusumo, </w:t>
      </w:r>
      <w:r>
        <w:rPr>
          <w:rFonts w:ascii="Times New Roman" w:hAnsi="Times New Roman" w:cs="Times New Roman"/>
          <w:i/>
        </w:rPr>
        <w:t>Op.cit.</w:t>
      </w:r>
      <w:r w:rsidRPr="00D64913">
        <w:rPr>
          <w:rFonts w:ascii="Times New Roman" w:hAnsi="Times New Roman" w:cs="Times New Roman"/>
        </w:rPr>
        <w:t xml:space="preserve">, hlm </w:t>
      </w:r>
      <w:r>
        <w:rPr>
          <w:rFonts w:ascii="Times New Roman" w:hAnsi="Times New Roman" w:cs="Times New Roman"/>
        </w:rPr>
        <w:t>69</w:t>
      </w:r>
    </w:p>
    <w:p w:rsidR="00AA6F3E" w:rsidRDefault="00AA6F3E" w:rsidP="00AA6F3E">
      <w:pPr>
        <w:pStyle w:val="FootnoteText"/>
      </w:pPr>
    </w:p>
  </w:footnote>
  <w:footnote w:id="80">
    <w:p w:rsidR="00AA6F3E" w:rsidRPr="00D64913" w:rsidRDefault="00AA6F3E" w:rsidP="00AA6F3E">
      <w:pPr>
        <w:pStyle w:val="FootnoteText"/>
        <w:ind w:firstLine="426"/>
        <w:jc w:val="both"/>
        <w:rPr>
          <w:rFonts w:ascii="Times New Roman" w:hAnsi="Times New Roman" w:cs="Times New Roman"/>
        </w:rPr>
      </w:pPr>
      <w:r>
        <w:rPr>
          <w:rStyle w:val="FootnoteReference"/>
        </w:rPr>
        <w:footnoteRef/>
      </w:r>
      <w:r w:rsidRPr="00D64913">
        <w:rPr>
          <w:rFonts w:ascii="Times New Roman" w:hAnsi="Times New Roman" w:cs="Times New Roman"/>
        </w:rPr>
        <w:t xml:space="preserve">Sudikno Mertokusumo, </w:t>
      </w:r>
      <w:r>
        <w:rPr>
          <w:rFonts w:ascii="Times New Roman" w:hAnsi="Times New Roman" w:cs="Times New Roman"/>
          <w:i/>
        </w:rPr>
        <w:t>Op.cit.</w:t>
      </w:r>
      <w:r w:rsidRPr="00D64913">
        <w:rPr>
          <w:rFonts w:ascii="Times New Roman" w:hAnsi="Times New Roman" w:cs="Times New Roman"/>
        </w:rPr>
        <w:t xml:space="preserve">, hlm </w:t>
      </w:r>
      <w:r>
        <w:rPr>
          <w:rFonts w:ascii="Times New Roman" w:hAnsi="Times New Roman" w:cs="Times New Roman"/>
        </w:rPr>
        <w:t>72-73</w:t>
      </w:r>
    </w:p>
    <w:p w:rsidR="00AA6F3E" w:rsidRDefault="00AA6F3E" w:rsidP="00AA6F3E">
      <w:pPr>
        <w:pStyle w:val="FootnoteText"/>
      </w:pPr>
    </w:p>
    <w:p w:rsidR="00AA6F3E" w:rsidRDefault="00AA6F3E" w:rsidP="00AA6F3E">
      <w:pPr>
        <w:pStyle w:val="FootnoteText"/>
      </w:pPr>
    </w:p>
    <w:p w:rsidR="00AA6F3E" w:rsidRDefault="00AA6F3E" w:rsidP="00AA6F3E">
      <w:pPr>
        <w:pStyle w:val="FootnoteText"/>
      </w:pPr>
    </w:p>
    <w:p w:rsidR="00AA6F3E" w:rsidRDefault="00AA6F3E" w:rsidP="00AA6F3E">
      <w:pPr>
        <w:pStyle w:val="FootnoteText"/>
      </w:pPr>
    </w:p>
  </w:footnote>
  <w:footnote w:id="81">
    <w:p w:rsidR="00AA6F3E" w:rsidRPr="00D64913" w:rsidRDefault="00AA6F3E" w:rsidP="00AA6F3E">
      <w:pPr>
        <w:pStyle w:val="FootnoteText"/>
        <w:ind w:firstLine="426"/>
        <w:jc w:val="both"/>
        <w:rPr>
          <w:rFonts w:ascii="Times New Roman" w:hAnsi="Times New Roman" w:cs="Times New Roman"/>
        </w:rPr>
      </w:pPr>
      <w:r>
        <w:rPr>
          <w:rStyle w:val="FootnoteReference"/>
        </w:rPr>
        <w:footnoteRef/>
      </w:r>
      <w:r w:rsidRPr="00D64913">
        <w:rPr>
          <w:rFonts w:ascii="Times New Roman" w:hAnsi="Times New Roman" w:cs="Times New Roman"/>
        </w:rPr>
        <w:t xml:space="preserve">Sudikno Mertokusumo, </w:t>
      </w:r>
      <w:r>
        <w:rPr>
          <w:rFonts w:ascii="Times New Roman" w:hAnsi="Times New Roman" w:cs="Times New Roman"/>
          <w:i/>
        </w:rPr>
        <w:t xml:space="preserve">Op.cit., </w:t>
      </w:r>
      <w:r w:rsidRPr="00D64913">
        <w:rPr>
          <w:rFonts w:ascii="Times New Roman" w:hAnsi="Times New Roman" w:cs="Times New Roman"/>
        </w:rPr>
        <w:t xml:space="preserve">hlm </w:t>
      </w:r>
      <w:r>
        <w:rPr>
          <w:rFonts w:ascii="Times New Roman" w:hAnsi="Times New Roman" w:cs="Times New Roman"/>
        </w:rPr>
        <w:t>98</w:t>
      </w:r>
    </w:p>
    <w:p w:rsidR="00AA6F3E" w:rsidRDefault="00AA6F3E" w:rsidP="00AA6F3E">
      <w:pPr>
        <w:pStyle w:val="FootnoteText"/>
      </w:pPr>
    </w:p>
  </w:footnote>
  <w:footnote w:id="82">
    <w:p w:rsidR="00AA6F3E" w:rsidRPr="006A4780" w:rsidRDefault="00AA6F3E" w:rsidP="00AA6F3E">
      <w:pPr>
        <w:pStyle w:val="FootnoteText"/>
        <w:ind w:firstLine="426"/>
        <w:jc w:val="both"/>
        <w:rPr>
          <w:rFonts w:ascii="Times New Roman" w:hAnsi="Times New Roman" w:cs="Times New Roman"/>
        </w:rPr>
      </w:pPr>
      <w:r>
        <w:rPr>
          <w:rStyle w:val="FootnoteReference"/>
        </w:rPr>
        <w:footnoteRef/>
      </w:r>
      <w:r w:rsidRPr="006A4780">
        <w:rPr>
          <w:rFonts w:ascii="Times New Roman" w:hAnsi="Times New Roman" w:cs="Times New Roman"/>
        </w:rPr>
        <w:t xml:space="preserve">Taufik Makarau, </w:t>
      </w:r>
      <w:r>
        <w:rPr>
          <w:rFonts w:ascii="Times New Roman" w:hAnsi="Times New Roman" w:cs="Times New Roman"/>
          <w:i/>
        </w:rPr>
        <w:t>Op.cit.</w:t>
      </w:r>
      <w:r w:rsidRPr="006A4780">
        <w:rPr>
          <w:rFonts w:ascii="Times New Roman" w:hAnsi="Times New Roman" w:cs="Times New Roman"/>
        </w:rPr>
        <w:t xml:space="preserve">, Pertama (Jakarta : Rineka Cipta, 2004), hlm </w:t>
      </w:r>
      <w:r>
        <w:rPr>
          <w:rFonts w:ascii="Times New Roman" w:hAnsi="Times New Roman" w:cs="Times New Roman"/>
        </w:rPr>
        <w:t>66</w:t>
      </w:r>
    </w:p>
    <w:p w:rsidR="00AA6F3E" w:rsidRDefault="00AA6F3E" w:rsidP="00AA6F3E">
      <w:pPr>
        <w:pStyle w:val="FootnoteText"/>
      </w:pPr>
    </w:p>
  </w:footnote>
  <w:footnote w:id="83">
    <w:p w:rsidR="00AA6F3E" w:rsidRPr="006A4780" w:rsidRDefault="00AA6F3E" w:rsidP="00AA6F3E">
      <w:pPr>
        <w:pStyle w:val="FootnoteText"/>
        <w:ind w:firstLine="426"/>
        <w:jc w:val="both"/>
        <w:rPr>
          <w:rFonts w:ascii="Times New Roman" w:hAnsi="Times New Roman" w:cs="Times New Roman"/>
        </w:rPr>
      </w:pPr>
      <w:r>
        <w:rPr>
          <w:rStyle w:val="FootnoteReference"/>
        </w:rPr>
        <w:footnoteRef/>
      </w:r>
      <w:r>
        <w:rPr>
          <w:rFonts w:ascii="Times New Roman" w:hAnsi="Times New Roman" w:cs="Times New Roman"/>
        </w:rPr>
        <w:t xml:space="preserve">Riduan Syahrani dikutip dari </w:t>
      </w:r>
      <w:r w:rsidRPr="006A4780">
        <w:rPr>
          <w:rFonts w:ascii="Times New Roman" w:hAnsi="Times New Roman" w:cs="Times New Roman"/>
        </w:rPr>
        <w:t xml:space="preserve">Taufik Makarau, </w:t>
      </w:r>
      <w:r>
        <w:rPr>
          <w:rFonts w:ascii="Times New Roman" w:hAnsi="Times New Roman" w:cs="Times New Roman"/>
          <w:i/>
        </w:rPr>
        <w:t xml:space="preserve">Op.cit., </w:t>
      </w:r>
      <w:r w:rsidRPr="006A4780">
        <w:rPr>
          <w:rFonts w:ascii="Times New Roman" w:hAnsi="Times New Roman" w:cs="Times New Roman"/>
        </w:rPr>
        <w:t xml:space="preserve">hlm </w:t>
      </w:r>
      <w:r>
        <w:rPr>
          <w:rFonts w:ascii="Times New Roman" w:hAnsi="Times New Roman" w:cs="Times New Roman"/>
        </w:rPr>
        <w:t xml:space="preserve">93 </w:t>
      </w:r>
    </w:p>
    <w:p w:rsidR="00AA6F3E" w:rsidRDefault="00AA6F3E" w:rsidP="00AA6F3E">
      <w:pPr>
        <w:pStyle w:val="FootnoteText"/>
      </w:pPr>
    </w:p>
  </w:footnote>
  <w:footnote w:id="84">
    <w:p w:rsidR="00AA6F3E" w:rsidRPr="00D64913" w:rsidRDefault="00AA6F3E" w:rsidP="00AA6F3E">
      <w:pPr>
        <w:pStyle w:val="FootnoteText"/>
        <w:ind w:firstLine="426"/>
        <w:jc w:val="both"/>
        <w:rPr>
          <w:rFonts w:ascii="Times New Roman" w:hAnsi="Times New Roman" w:cs="Times New Roman"/>
        </w:rPr>
      </w:pPr>
      <w:r>
        <w:rPr>
          <w:rStyle w:val="FootnoteReference"/>
        </w:rPr>
        <w:footnoteRef/>
      </w:r>
      <w:r w:rsidRPr="00D64913">
        <w:rPr>
          <w:rFonts w:ascii="Times New Roman" w:hAnsi="Times New Roman" w:cs="Times New Roman"/>
        </w:rPr>
        <w:t xml:space="preserve">Sudikno Mertokusumo, </w:t>
      </w:r>
      <w:r>
        <w:rPr>
          <w:rFonts w:ascii="Times New Roman" w:hAnsi="Times New Roman" w:cs="Times New Roman"/>
          <w:i/>
        </w:rPr>
        <w:t>Op.cit.</w:t>
      </w:r>
      <w:r w:rsidRPr="00D64913">
        <w:rPr>
          <w:rFonts w:ascii="Times New Roman" w:hAnsi="Times New Roman" w:cs="Times New Roman"/>
        </w:rPr>
        <w:t xml:space="preserve">, hlm </w:t>
      </w:r>
      <w:r>
        <w:rPr>
          <w:rFonts w:ascii="Times New Roman" w:hAnsi="Times New Roman" w:cs="Times New Roman"/>
        </w:rPr>
        <w:t xml:space="preserve">175 </w:t>
      </w:r>
    </w:p>
    <w:p w:rsidR="00AA6F3E" w:rsidRDefault="00AA6F3E" w:rsidP="00AA6F3E">
      <w:pPr>
        <w:pStyle w:val="FootnoteText"/>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72CE8"/>
    <w:multiLevelType w:val="hybridMultilevel"/>
    <w:tmpl w:val="1D9C401A"/>
    <w:lvl w:ilvl="0" w:tplc="0421000F">
      <w:start w:val="1"/>
      <w:numFmt w:val="decimal"/>
      <w:lvlText w:val="%1."/>
      <w:lvlJc w:val="left"/>
      <w:pPr>
        <w:ind w:left="1069" w:hanging="360"/>
      </w:p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
    <w:nsid w:val="086962E5"/>
    <w:multiLevelType w:val="hybridMultilevel"/>
    <w:tmpl w:val="66B0C34C"/>
    <w:lvl w:ilvl="0" w:tplc="9326B85E">
      <w:start w:val="1"/>
      <w:numFmt w:val="decimal"/>
      <w:lvlText w:val="%1."/>
      <w:lvlJc w:val="left"/>
      <w:pPr>
        <w:ind w:left="1200" w:hanging="360"/>
      </w:pPr>
      <w:rPr>
        <w:rFonts w:hint="default"/>
      </w:rPr>
    </w:lvl>
    <w:lvl w:ilvl="1" w:tplc="04210019" w:tentative="1">
      <w:start w:val="1"/>
      <w:numFmt w:val="lowerLetter"/>
      <w:lvlText w:val="%2."/>
      <w:lvlJc w:val="left"/>
      <w:pPr>
        <w:ind w:left="1920" w:hanging="360"/>
      </w:pPr>
    </w:lvl>
    <w:lvl w:ilvl="2" w:tplc="0421001B" w:tentative="1">
      <w:start w:val="1"/>
      <w:numFmt w:val="lowerRoman"/>
      <w:lvlText w:val="%3."/>
      <w:lvlJc w:val="right"/>
      <w:pPr>
        <w:ind w:left="2640" w:hanging="180"/>
      </w:pPr>
    </w:lvl>
    <w:lvl w:ilvl="3" w:tplc="0421000F" w:tentative="1">
      <w:start w:val="1"/>
      <w:numFmt w:val="decimal"/>
      <w:lvlText w:val="%4."/>
      <w:lvlJc w:val="left"/>
      <w:pPr>
        <w:ind w:left="3360" w:hanging="360"/>
      </w:pPr>
    </w:lvl>
    <w:lvl w:ilvl="4" w:tplc="04210019" w:tentative="1">
      <w:start w:val="1"/>
      <w:numFmt w:val="lowerLetter"/>
      <w:lvlText w:val="%5."/>
      <w:lvlJc w:val="left"/>
      <w:pPr>
        <w:ind w:left="4080" w:hanging="360"/>
      </w:pPr>
    </w:lvl>
    <w:lvl w:ilvl="5" w:tplc="0421001B" w:tentative="1">
      <w:start w:val="1"/>
      <w:numFmt w:val="lowerRoman"/>
      <w:lvlText w:val="%6."/>
      <w:lvlJc w:val="right"/>
      <w:pPr>
        <w:ind w:left="4800" w:hanging="180"/>
      </w:pPr>
    </w:lvl>
    <w:lvl w:ilvl="6" w:tplc="0421000F" w:tentative="1">
      <w:start w:val="1"/>
      <w:numFmt w:val="decimal"/>
      <w:lvlText w:val="%7."/>
      <w:lvlJc w:val="left"/>
      <w:pPr>
        <w:ind w:left="5520" w:hanging="360"/>
      </w:pPr>
    </w:lvl>
    <w:lvl w:ilvl="7" w:tplc="04210019" w:tentative="1">
      <w:start w:val="1"/>
      <w:numFmt w:val="lowerLetter"/>
      <w:lvlText w:val="%8."/>
      <w:lvlJc w:val="left"/>
      <w:pPr>
        <w:ind w:left="6240" w:hanging="360"/>
      </w:pPr>
    </w:lvl>
    <w:lvl w:ilvl="8" w:tplc="0421001B" w:tentative="1">
      <w:start w:val="1"/>
      <w:numFmt w:val="lowerRoman"/>
      <w:lvlText w:val="%9."/>
      <w:lvlJc w:val="right"/>
      <w:pPr>
        <w:ind w:left="6960" w:hanging="180"/>
      </w:pPr>
    </w:lvl>
  </w:abstractNum>
  <w:abstractNum w:abstractNumId="2">
    <w:nsid w:val="0D7B51EE"/>
    <w:multiLevelType w:val="hybridMultilevel"/>
    <w:tmpl w:val="9F1ED2D6"/>
    <w:lvl w:ilvl="0" w:tplc="04210019">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
    <w:nsid w:val="10D578B3"/>
    <w:multiLevelType w:val="hybridMultilevel"/>
    <w:tmpl w:val="C27A59BE"/>
    <w:lvl w:ilvl="0" w:tplc="0421000F">
      <w:start w:val="1"/>
      <w:numFmt w:val="decimal"/>
      <w:lvlText w:val="%1."/>
      <w:lvlJc w:val="left"/>
      <w:pPr>
        <w:ind w:left="720" w:hanging="360"/>
      </w:pPr>
    </w:lvl>
    <w:lvl w:ilvl="1" w:tplc="3FF2AD10">
      <w:start w:val="1"/>
      <w:numFmt w:val="decimal"/>
      <w:lvlText w:val="%2."/>
      <w:lvlJc w:val="left"/>
      <w:pPr>
        <w:ind w:left="1440" w:hanging="360"/>
      </w:pPr>
      <w:rPr>
        <w:rFonts w:ascii="Times New Roman" w:eastAsiaTheme="minorHAnsi" w:hAnsi="Times New Roman" w:cs="Times New Roman"/>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82753E2"/>
    <w:multiLevelType w:val="hybridMultilevel"/>
    <w:tmpl w:val="7D628870"/>
    <w:lvl w:ilvl="0" w:tplc="04210011">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5">
    <w:nsid w:val="20C010D8"/>
    <w:multiLevelType w:val="hybridMultilevel"/>
    <w:tmpl w:val="7E04EB4C"/>
    <w:lvl w:ilvl="0" w:tplc="B8680BF2">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6">
    <w:nsid w:val="25781F93"/>
    <w:multiLevelType w:val="hybridMultilevel"/>
    <w:tmpl w:val="2F4489B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2BD2526F"/>
    <w:multiLevelType w:val="hybridMultilevel"/>
    <w:tmpl w:val="6CB0FFD8"/>
    <w:lvl w:ilvl="0" w:tplc="04210019">
      <w:start w:val="1"/>
      <w:numFmt w:val="lowerLetter"/>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8">
    <w:nsid w:val="2F1C7CBD"/>
    <w:multiLevelType w:val="hybridMultilevel"/>
    <w:tmpl w:val="07DCD15A"/>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9E3042EE">
      <w:start w:val="1"/>
      <w:numFmt w:val="decimal"/>
      <w:lvlText w:val="%3."/>
      <w:lvlJc w:val="left"/>
      <w:pPr>
        <w:ind w:left="2340" w:hanging="360"/>
      </w:pPr>
      <w:rPr>
        <w:rFonts w:hint="default"/>
      </w:rPr>
    </w:lvl>
    <w:lvl w:ilvl="3" w:tplc="29EEEC60">
      <w:start w:val="1"/>
      <w:numFmt w:val="upperLetter"/>
      <w:lvlText w:val="%4."/>
      <w:lvlJc w:val="left"/>
      <w:pPr>
        <w:ind w:left="2880" w:hanging="360"/>
      </w:pPr>
      <w:rPr>
        <w:rFonts w:hint="default"/>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37A324E6"/>
    <w:multiLevelType w:val="hybridMultilevel"/>
    <w:tmpl w:val="AA9EEDC0"/>
    <w:lvl w:ilvl="0" w:tplc="0421000F">
      <w:start w:val="1"/>
      <w:numFmt w:val="decimal"/>
      <w:lvlText w:val="%1."/>
      <w:lvlJc w:val="left"/>
      <w:pPr>
        <w:ind w:left="1855" w:hanging="360"/>
      </w:pPr>
      <w:rPr>
        <w:rFonts w:hint="default"/>
      </w:rPr>
    </w:lvl>
    <w:lvl w:ilvl="1" w:tplc="04210019" w:tentative="1">
      <w:start w:val="1"/>
      <w:numFmt w:val="lowerLetter"/>
      <w:lvlText w:val="%2."/>
      <w:lvlJc w:val="left"/>
      <w:pPr>
        <w:ind w:left="2575" w:hanging="360"/>
      </w:pPr>
    </w:lvl>
    <w:lvl w:ilvl="2" w:tplc="0421001B" w:tentative="1">
      <w:start w:val="1"/>
      <w:numFmt w:val="lowerRoman"/>
      <w:lvlText w:val="%3."/>
      <w:lvlJc w:val="right"/>
      <w:pPr>
        <w:ind w:left="3295" w:hanging="180"/>
      </w:pPr>
    </w:lvl>
    <w:lvl w:ilvl="3" w:tplc="0421000F" w:tentative="1">
      <w:start w:val="1"/>
      <w:numFmt w:val="decimal"/>
      <w:lvlText w:val="%4."/>
      <w:lvlJc w:val="left"/>
      <w:pPr>
        <w:ind w:left="4015" w:hanging="360"/>
      </w:pPr>
    </w:lvl>
    <w:lvl w:ilvl="4" w:tplc="04210019" w:tentative="1">
      <w:start w:val="1"/>
      <w:numFmt w:val="lowerLetter"/>
      <w:lvlText w:val="%5."/>
      <w:lvlJc w:val="left"/>
      <w:pPr>
        <w:ind w:left="4735" w:hanging="360"/>
      </w:pPr>
    </w:lvl>
    <w:lvl w:ilvl="5" w:tplc="0421001B" w:tentative="1">
      <w:start w:val="1"/>
      <w:numFmt w:val="lowerRoman"/>
      <w:lvlText w:val="%6."/>
      <w:lvlJc w:val="right"/>
      <w:pPr>
        <w:ind w:left="5455" w:hanging="180"/>
      </w:pPr>
    </w:lvl>
    <w:lvl w:ilvl="6" w:tplc="0421000F" w:tentative="1">
      <w:start w:val="1"/>
      <w:numFmt w:val="decimal"/>
      <w:lvlText w:val="%7."/>
      <w:lvlJc w:val="left"/>
      <w:pPr>
        <w:ind w:left="6175" w:hanging="360"/>
      </w:pPr>
    </w:lvl>
    <w:lvl w:ilvl="7" w:tplc="04210019" w:tentative="1">
      <w:start w:val="1"/>
      <w:numFmt w:val="lowerLetter"/>
      <w:lvlText w:val="%8."/>
      <w:lvlJc w:val="left"/>
      <w:pPr>
        <w:ind w:left="6895" w:hanging="360"/>
      </w:pPr>
    </w:lvl>
    <w:lvl w:ilvl="8" w:tplc="0421001B" w:tentative="1">
      <w:start w:val="1"/>
      <w:numFmt w:val="lowerRoman"/>
      <w:lvlText w:val="%9."/>
      <w:lvlJc w:val="right"/>
      <w:pPr>
        <w:ind w:left="7615" w:hanging="180"/>
      </w:pPr>
    </w:lvl>
  </w:abstractNum>
  <w:abstractNum w:abstractNumId="10">
    <w:nsid w:val="39B22793"/>
    <w:multiLevelType w:val="hybridMultilevel"/>
    <w:tmpl w:val="E36C57EA"/>
    <w:lvl w:ilvl="0" w:tplc="04210011">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
    <w:nsid w:val="3D954361"/>
    <w:multiLevelType w:val="hybridMultilevel"/>
    <w:tmpl w:val="42DEB71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4A611E7E"/>
    <w:multiLevelType w:val="hybridMultilevel"/>
    <w:tmpl w:val="F3D4B98E"/>
    <w:lvl w:ilvl="0" w:tplc="04210019">
      <w:start w:val="1"/>
      <w:numFmt w:val="lowerLetter"/>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13">
    <w:nsid w:val="4B0F40F4"/>
    <w:multiLevelType w:val="hybridMultilevel"/>
    <w:tmpl w:val="1E1EEEEA"/>
    <w:lvl w:ilvl="0" w:tplc="04210019">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4">
    <w:nsid w:val="53B33C9D"/>
    <w:multiLevelType w:val="hybridMultilevel"/>
    <w:tmpl w:val="388CA4AA"/>
    <w:lvl w:ilvl="0" w:tplc="0421000F">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5">
    <w:nsid w:val="5FCF4FAD"/>
    <w:multiLevelType w:val="hybridMultilevel"/>
    <w:tmpl w:val="8A3CBF0E"/>
    <w:lvl w:ilvl="0" w:tplc="16ECDAB2">
      <w:start w:val="1"/>
      <w:numFmt w:val="decimal"/>
      <w:lvlText w:val="%1."/>
      <w:lvlJc w:val="left"/>
      <w:pPr>
        <w:ind w:left="1920" w:hanging="360"/>
      </w:pPr>
      <w:rPr>
        <w:rFonts w:ascii="Times New Roman" w:eastAsiaTheme="minorHAnsi" w:hAnsi="Times New Roman" w:cs="Times New Roman"/>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16">
    <w:nsid w:val="63C9603C"/>
    <w:multiLevelType w:val="hybridMultilevel"/>
    <w:tmpl w:val="3E2ED86A"/>
    <w:lvl w:ilvl="0" w:tplc="E86638E8">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num w:numId="1">
    <w:abstractNumId w:val="8"/>
  </w:num>
  <w:num w:numId="2">
    <w:abstractNumId w:val="15"/>
  </w:num>
  <w:num w:numId="3">
    <w:abstractNumId w:val="2"/>
  </w:num>
  <w:num w:numId="4">
    <w:abstractNumId w:val="11"/>
  </w:num>
  <w:num w:numId="5">
    <w:abstractNumId w:val="9"/>
  </w:num>
  <w:num w:numId="6">
    <w:abstractNumId w:val="16"/>
  </w:num>
  <w:num w:numId="7">
    <w:abstractNumId w:val="13"/>
  </w:num>
  <w:num w:numId="8">
    <w:abstractNumId w:val="7"/>
  </w:num>
  <w:num w:numId="9">
    <w:abstractNumId w:val="12"/>
  </w:num>
  <w:num w:numId="10">
    <w:abstractNumId w:val="14"/>
  </w:num>
  <w:num w:numId="11">
    <w:abstractNumId w:val="0"/>
  </w:num>
  <w:num w:numId="12">
    <w:abstractNumId w:val="3"/>
  </w:num>
  <w:num w:numId="13">
    <w:abstractNumId w:val="6"/>
  </w:num>
  <w:num w:numId="14">
    <w:abstractNumId w:val="1"/>
  </w:num>
  <w:num w:numId="15">
    <w:abstractNumId w:val="5"/>
  </w:num>
  <w:num w:numId="16">
    <w:abstractNumId w:val="10"/>
  </w:num>
  <w:num w:numId="17">
    <w:abstractNumId w:val="4"/>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AA6F3E"/>
    <w:rsid w:val="0020490C"/>
    <w:rsid w:val="00354CCA"/>
    <w:rsid w:val="0068593E"/>
    <w:rsid w:val="00AA6F3E"/>
    <w:rsid w:val="00B6133F"/>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F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6F3E"/>
    <w:pPr>
      <w:ind w:left="720"/>
      <w:contextualSpacing/>
    </w:pPr>
  </w:style>
  <w:style w:type="paragraph" w:styleId="FootnoteText">
    <w:name w:val="footnote text"/>
    <w:basedOn w:val="Normal"/>
    <w:link w:val="FootnoteTextChar"/>
    <w:uiPriority w:val="99"/>
    <w:unhideWhenUsed/>
    <w:rsid w:val="00AA6F3E"/>
    <w:pPr>
      <w:spacing w:after="0" w:line="240" w:lineRule="auto"/>
    </w:pPr>
    <w:rPr>
      <w:sz w:val="20"/>
      <w:szCs w:val="20"/>
    </w:rPr>
  </w:style>
  <w:style w:type="character" w:customStyle="1" w:styleId="FootnoteTextChar">
    <w:name w:val="Footnote Text Char"/>
    <w:basedOn w:val="DefaultParagraphFont"/>
    <w:link w:val="FootnoteText"/>
    <w:uiPriority w:val="99"/>
    <w:rsid w:val="00AA6F3E"/>
    <w:rPr>
      <w:sz w:val="20"/>
      <w:szCs w:val="20"/>
    </w:rPr>
  </w:style>
  <w:style w:type="character" w:styleId="FootnoteReference">
    <w:name w:val="footnote reference"/>
    <w:basedOn w:val="DefaultParagraphFont"/>
    <w:uiPriority w:val="99"/>
    <w:semiHidden/>
    <w:unhideWhenUsed/>
    <w:rsid w:val="00AA6F3E"/>
    <w:rPr>
      <w:vertAlign w:val="superscript"/>
    </w:rPr>
  </w:style>
  <w:style w:type="paragraph" w:styleId="Footer">
    <w:name w:val="footer"/>
    <w:basedOn w:val="Normal"/>
    <w:link w:val="FooterChar"/>
    <w:uiPriority w:val="99"/>
    <w:unhideWhenUsed/>
    <w:rsid w:val="00AA6F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6F3E"/>
  </w:style>
  <w:style w:type="character" w:styleId="Hyperlink">
    <w:name w:val="Hyperlink"/>
    <w:basedOn w:val="DefaultParagraphFont"/>
    <w:uiPriority w:val="99"/>
    <w:unhideWhenUsed/>
    <w:rsid w:val="00AA6F3E"/>
    <w:rPr>
      <w:color w:val="0000FF" w:themeColor="hyperlink"/>
      <w:u w:val="single"/>
    </w:rPr>
  </w:style>
  <w:style w:type="paragraph" w:styleId="BalloonText">
    <w:name w:val="Balloon Text"/>
    <w:basedOn w:val="Normal"/>
    <w:link w:val="BalloonTextChar"/>
    <w:uiPriority w:val="99"/>
    <w:semiHidden/>
    <w:unhideWhenUsed/>
    <w:rsid w:val="00AA6F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6F3E"/>
    <w:rPr>
      <w:rFonts w:ascii="Tahoma" w:hAnsi="Tahoma" w:cs="Tahoma"/>
      <w:sz w:val="16"/>
      <w:szCs w:val="16"/>
    </w:rPr>
  </w:style>
  <w:style w:type="paragraph" w:styleId="Header">
    <w:name w:val="header"/>
    <w:basedOn w:val="Normal"/>
    <w:link w:val="HeaderChar"/>
    <w:uiPriority w:val="99"/>
    <w:unhideWhenUsed/>
    <w:rsid w:val="00AA6F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6F3E"/>
  </w:style>
  <w:style w:type="paragraph" w:customStyle="1" w:styleId="Default">
    <w:name w:val="Default"/>
    <w:rsid w:val="00AA6F3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m.hukumonline.com/berita/baca/hol3616/perbuatan-melawan-hukum-dan-" TargetMode="External"/><Relationship Id="rId1" Type="http://schemas.openxmlformats.org/officeDocument/2006/relationships/hyperlink" Target="https://www.dictio.id/t/apa-yang-dimaksud-dengan-wanprestasi-dalam-hukum-perdata/134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49</Pages>
  <Words>9914</Words>
  <Characters>56512</Characters>
  <Application>Microsoft Office Word</Application>
  <DocSecurity>0</DocSecurity>
  <Lines>470</Lines>
  <Paragraphs>132</Paragraphs>
  <ScaleCrop>false</ScaleCrop>
  <Company/>
  <LinksUpToDate>false</LinksUpToDate>
  <CharactersWithSpaces>66294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KDN</dc:creator>
  <cp:lastModifiedBy>KDN</cp:lastModifiedBy>
  <cp:revision>2</cp:revision>
  <dcterms:created xsi:type="dcterms:W3CDTF">2018-10-31T04:45:00Z</dcterms:created>
  <dcterms:modified xsi:type="dcterms:W3CDTF">2018-10-31T04:46:00Z</dcterms:modified>
</cp:coreProperties>
</file>